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170D" w14:textId="77777777" w:rsidR="00B8700B" w:rsidRPr="00733781" w:rsidRDefault="00B8700B" w:rsidP="00B8700B">
      <w:pPr>
        <w:autoSpaceDE w:val="0"/>
        <w:autoSpaceDN w:val="0"/>
        <w:adjustRightInd w:val="0"/>
        <w:jc w:val="center"/>
        <w:rPr>
          <w:rFonts w:ascii="Cambria" w:hAnsi="Cambria" w:cs="Arial"/>
          <w:b/>
          <w:bCs/>
          <w:sz w:val="20"/>
          <w:szCs w:val="20"/>
        </w:rPr>
      </w:pPr>
      <w:r w:rsidRPr="00733781">
        <w:rPr>
          <w:rFonts w:ascii="Cambria" w:hAnsi="Cambria" w:cs="Arial"/>
          <w:b/>
          <w:bCs/>
          <w:sz w:val="20"/>
          <w:szCs w:val="20"/>
        </w:rPr>
        <w:t>INVITATION TO THE ANNUAL GENERAL MEETING OF SHAREHOLDERS &amp;</w:t>
      </w:r>
    </w:p>
    <w:p w14:paraId="018F3A73" w14:textId="77777777" w:rsidR="00B8700B" w:rsidRPr="00733781" w:rsidRDefault="00B8700B" w:rsidP="00B8700B">
      <w:pPr>
        <w:autoSpaceDE w:val="0"/>
        <w:autoSpaceDN w:val="0"/>
        <w:adjustRightInd w:val="0"/>
        <w:jc w:val="center"/>
        <w:rPr>
          <w:rFonts w:ascii="Cambria" w:hAnsi="Cambria" w:cs="Arial"/>
          <w:b/>
          <w:bCs/>
          <w:sz w:val="20"/>
          <w:szCs w:val="20"/>
        </w:rPr>
      </w:pPr>
      <w:r w:rsidRPr="00733781">
        <w:rPr>
          <w:rFonts w:ascii="Cambria" w:hAnsi="Cambria" w:cs="Arial"/>
          <w:b/>
          <w:bCs/>
          <w:sz w:val="20"/>
          <w:szCs w:val="20"/>
        </w:rPr>
        <w:t>EXTRAORDINARY GENERAL MEETING OF SHAREHOLDERS</w:t>
      </w:r>
    </w:p>
    <w:p w14:paraId="6EC1F064" w14:textId="381E4A79" w:rsidR="00B8700B" w:rsidRPr="00733781" w:rsidRDefault="00415D85" w:rsidP="00B8700B">
      <w:pPr>
        <w:keepNext/>
        <w:widowControl w:val="0"/>
        <w:jc w:val="center"/>
        <w:rPr>
          <w:rFonts w:ascii="Cambria" w:eastAsia="Arial" w:hAnsi="Cambria" w:cs="Arial"/>
          <w:b/>
          <w:bCs/>
          <w:sz w:val="20"/>
          <w:szCs w:val="20"/>
          <w:lang w:val="en-US"/>
        </w:rPr>
      </w:pPr>
      <w:r w:rsidRPr="00733781">
        <w:rPr>
          <w:rFonts w:ascii="Cambria" w:eastAsia="Arial" w:hAnsi="Cambria" w:cs="Arial"/>
          <w:b/>
          <w:bCs/>
          <w:sz w:val="20"/>
          <w:szCs w:val="20"/>
          <w:lang w:val="en-US"/>
        </w:rPr>
        <w:t xml:space="preserve">PT APOLLO GLOBAL INTERACTIVE TBK formerly </w:t>
      </w:r>
      <w:r w:rsidR="00B8700B" w:rsidRPr="00733781">
        <w:rPr>
          <w:rFonts w:ascii="Cambria" w:eastAsia="Arial" w:hAnsi="Cambria" w:cs="Arial"/>
          <w:b/>
          <w:bCs/>
          <w:sz w:val="20"/>
          <w:szCs w:val="20"/>
          <w:lang w:val="en-US"/>
        </w:rPr>
        <w:t>PT BINTANG OTO GLOBAL TBK</w:t>
      </w:r>
    </w:p>
    <w:p w14:paraId="21302963" w14:textId="77777777" w:rsidR="00B8700B" w:rsidRPr="00733781" w:rsidRDefault="00B8700B" w:rsidP="00B8700B">
      <w:pPr>
        <w:pStyle w:val="ListLevel2"/>
        <w:keepNext/>
        <w:widowControl w:val="0"/>
        <w:numPr>
          <w:ilvl w:val="0"/>
          <w:numId w:val="0"/>
        </w:numPr>
        <w:spacing w:before="0" w:beforeAutospacing="0" w:after="0" w:afterAutospacing="0" w:line="240" w:lineRule="auto"/>
        <w:ind w:left="720"/>
        <w:rPr>
          <w:rFonts w:ascii="Cambria" w:hAnsi="Cambria"/>
          <w:b/>
          <w:bCs/>
        </w:rPr>
      </w:pPr>
    </w:p>
    <w:p w14:paraId="4FB0801F" w14:textId="77777777" w:rsidR="00B8700B" w:rsidRPr="00733781" w:rsidRDefault="00B8700B" w:rsidP="00B8700B">
      <w:pPr>
        <w:pStyle w:val="ListLevel2"/>
        <w:keepNext/>
        <w:widowControl w:val="0"/>
        <w:numPr>
          <w:ilvl w:val="0"/>
          <w:numId w:val="0"/>
        </w:numPr>
        <w:spacing w:before="0" w:beforeAutospacing="0" w:after="0" w:afterAutospacing="0" w:line="240" w:lineRule="auto"/>
        <w:ind w:left="720"/>
        <w:rPr>
          <w:rFonts w:ascii="Cambria" w:hAnsi="Cambria"/>
          <w:b/>
          <w:bCs/>
        </w:rPr>
      </w:pPr>
    </w:p>
    <w:p w14:paraId="41301834" w14:textId="332B4424" w:rsidR="00B8700B" w:rsidRPr="00733781" w:rsidRDefault="00415D85" w:rsidP="00B8700B">
      <w:pPr>
        <w:pStyle w:val="BodyText2"/>
        <w:ind w:right="70"/>
        <w:rPr>
          <w:rFonts w:ascii="Cambria" w:hAnsi="Cambria" w:cs="Arial"/>
          <w:sz w:val="20"/>
          <w:lang w:val="en-US"/>
        </w:rPr>
      </w:pPr>
      <w:r w:rsidRPr="00733781">
        <w:rPr>
          <w:rFonts w:ascii="Cambria" w:hAnsi="Cambria" w:cs="Arial"/>
          <w:sz w:val="20"/>
          <w:lang w:val="en-US"/>
        </w:rPr>
        <w:t xml:space="preserve">PT Apollo Global Interactive </w:t>
      </w:r>
      <w:proofErr w:type="spellStart"/>
      <w:r w:rsidRPr="00733781">
        <w:rPr>
          <w:rFonts w:ascii="Cambria" w:hAnsi="Cambria" w:cs="Arial"/>
          <w:sz w:val="20"/>
          <w:lang w:val="en-US"/>
        </w:rPr>
        <w:t>Tbk</w:t>
      </w:r>
      <w:proofErr w:type="spellEnd"/>
      <w:r w:rsidRPr="00733781">
        <w:rPr>
          <w:rFonts w:ascii="Cambria" w:hAnsi="Cambria" w:cs="Arial"/>
          <w:sz w:val="20"/>
          <w:lang w:val="en-US"/>
        </w:rPr>
        <w:t xml:space="preserve"> formerly </w:t>
      </w:r>
      <w:r w:rsidR="00B8700B" w:rsidRPr="00733781">
        <w:rPr>
          <w:rFonts w:ascii="Cambria" w:hAnsi="Cambria" w:cs="Arial"/>
          <w:sz w:val="20"/>
          <w:lang w:val="en-US"/>
        </w:rPr>
        <w:t xml:space="preserve">PT Bintang Oto Global </w:t>
      </w:r>
      <w:proofErr w:type="spellStart"/>
      <w:r w:rsidR="00B8700B" w:rsidRPr="00733781">
        <w:rPr>
          <w:rFonts w:ascii="Cambria" w:hAnsi="Cambria" w:cs="Arial"/>
          <w:sz w:val="20"/>
          <w:lang w:val="en-US"/>
        </w:rPr>
        <w:t>Tbk</w:t>
      </w:r>
      <w:proofErr w:type="spellEnd"/>
      <w:r w:rsidR="00B8700B" w:rsidRPr="00733781">
        <w:rPr>
          <w:rFonts w:ascii="Cambria" w:hAnsi="Cambria" w:cs="Arial"/>
          <w:sz w:val="20"/>
          <w:lang w:val="en-US"/>
        </w:rPr>
        <w:t xml:space="preserve">. (hereinafter </w:t>
      </w:r>
      <w:proofErr w:type="spellStart"/>
      <w:r w:rsidR="00B8700B" w:rsidRPr="00733781">
        <w:rPr>
          <w:rFonts w:ascii="Cambria" w:hAnsi="Cambria" w:cs="Arial"/>
          <w:sz w:val="20"/>
          <w:lang w:val="en-US"/>
        </w:rPr>
        <w:t>reffered</w:t>
      </w:r>
      <w:proofErr w:type="spellEnd"/>
      <w:r w:rsidR="00B8700B" w:rsidRPr="00733781">
        <w:rPr>
          <w:rFonts w:ascii="Cambria" w:hAnsi="Cambria" w:cs="Arial"/>
          <w:sz w:val="20"/>
          <w:lang w:val="en-US"/>
        </w:rPr>
        <w:t xml:space="preserve"> to as the “Company”) hereby invites the shareholders of the Company to attend the Annual General Meeting of Shareholders (“AGMS”) and Extraordinary General Meeting of Shareholders (“EGMS”), which will be held on: </w:t>
      </w:r>
    </w:p>
    <w:p w14:paraId="6D1D4ECA" w14:textId="77777777" w:rsidR="00B8700B" w:rsidRPr="00733781" w:rsidRDefault="00B8700B" w:rsidP="00B8700B">
      <w:pPr>
        <w:pStyle w:val="BodyText2"/>
        <w:ind w:right="70"/>
        <w:rPr>
          <w:rFonts w:ascii="Cambria" w:hAnsi="Cambria" w:cs="Arial"/>
          <w:sz w:val="20"/>
          <w:lang w:val="en-US"/>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69"/>
        <w:gridCol w:w="5799"/>
      </w:tblGrid>
      <w:tr w:rsidR="00415D85" w:rsidRPr="00733781" w14:paraId="1EF25BF6" w14:textId="77777777" w:rsidTr="00170750">
        <w:tc>
          <w:tcPr>
            <w:tcW w:w="3005" w:type="dxa"/>
          </w:tcPr>
          <w:p w14:paraId="4F2E1E94" w14:textId="5208CB3D" w:rsidR="00415D85" w:rsidRPr="00733781" w:rsidRDefault="00415D85" w:rsidP="00170750">
            <w:pPr>
              <w:spacing w:before="100" w:beforeAutospacing="1" w:after="100" w:afterAutospacing="1" w:line="288" w:lineRule="auto"/>
              <w:jc w:val="both"/>
              <w:rPr>
                <w:rFonts w:ascii="Cambria" w:eastAsia="Arial" w:hAnsi="Cambria" w:cs="Arial"/>
                <w:sz w:val="20"/>
                <w:szCs w:val="20"/>
                <w:lang w:val="en-US"/>
              </w:rPr>
            </w:pPr>
            <w:r w:rsidRPr="00733781">
              <w:rPr>
                <w:rFonts w:ascii="Cambria" w:eastAsia="Arial" w:hAnsi="Cambria" w:cs="Arial"/>
                <w:sz w:val="20"/>
                <w:szCs w:val="20"/>
                <w:lang w:val="en-US"/>
              </w:rPr>
              <w:t>Day/Date</w:t>
            </w:r>
          </w:p>
        </w:tc>
        <w:tc>
          <w:tcPr>
            <w:tcW w:w="251" w:type="dxa"/>
          </w:tcPr>
          <w:p w14:paraId="37580296" w14:textId="77777777" w:rsidR="00415D85" w:rsidRPr="00733781" w:rsidRDefault="00415D85" w:rsidP="00170750">
            <w:pPr>
              <w:spacing w:before="100" w:beforeAutospacing="1" w:after="100" w:afterAutospacing="1" w:line="288" w:lineRule="auto"/>
              <w:jc w:val="both"/>
              <w:rPr>
                <w:rFonts w:ascii="Cambria" w:eastAsia="Arial" w:hAnsi="Cambria" w:cs="Arial"/>
                <w:sz w:val="20"/>
                <w:szCs w:val="20"/>
                <w:lang w:val="en-US"/>
              </w:rPr>
            </w:pPr>
            <w:r w:rsidRPr="00733781">
              <w:rPr>
                <w:rFonts w:ascii="Cambria" w:eastAsia="Arial" w:hAnsi="Cambria" w:cs="Arial"/>
                <w:sz w:val="20"/>
                <w:szCs w:val="20"/>
                <w:lang w:val="en-US"/>
              </w:rPr>
              <w:t>:</w:t>
            </w:r>
          </w:p>
        </w:tc>
        <w:tc>
          <w:tcPr>
            <w:tcW w:w="5811" w:type="dxa"/>
          </w:tcPr>
          <w:p w14:paraId="466800C5" w14:textId="7A5D9AB2" w:rsidR="00415D85" w:rsidRPr="00733781" w:rsidRDefault="000E17D3" w:rsidP="00170750">
            <w:pPr>
              <w:spacing w:before="100" w:beforeAutospacing="1" w:after="100" w:afterAutospacing="1" w:line="288" w:lineRule="auto"/>
              <w:jc w:val="both"/>
              <w:rPr>
                <w:rFonts w:ascii="Cambria" w:eastAsia="Arial" w:hAnsi="Cambria" w:cs="Arial"/>
                <w:sz w:val="20"/>
                <w:szCs w:val="20"/>
                <w:lang w:val="en-US"/>
              </w:rPr>
            </w:pPr>
            <w:r w:rsidRPr="000C6309">
              <w:rPr>
                <w:rFonts w:ascii="Cambria" w:eastAsia="Arial" w:hAnsi="Cambria" w:cs="Arial"/>
                <w:sz w:val="20"/>
                <w:szCs w:val="20"/>
                <w:lang w:val="en-US"/>
              </w:rPr>
              <w:t>Thursday, June 18, 2026</w:t>
            </w:r>
          </w:p>
        </w:tc>
      </w:tr>
      <w:tr w:rsidR="00415D85" w:rsidRPr="00733781" w14:paraId="18B057C8" w14:textId="77777777" w:rsidTr="00170750">
        <w:tc>
          <w:tcPr>
            <w:tcW w:w="3005" w:type="dxa"/>
          </w:tcPr>
          <w:p w14:paraId="52BEB067" w14:textId="3F3509DF" w:rsidR="00415D85" w:rsidRPr="00733781" w:rsidRDefault="00415D85" w:rsidP="00170750">
            <w:pPr>
              <w:spacing w:before="100" w:beforeAutospacing="1" w:after="100" w:afterAutospacing="1" w:line="288" w:lineRule="auto"/>
              <w:jc w:val="both"/>
              <w:rPr>
                <w:rFonts w:ascii="Cambria" w:eastAsia="Arial" w:hAnsi="Cambria" w:cs="Arial"/>
                <w:sz w:val="20"/>
                <w:szCs w:val="20"/>
                <w:lang w:val="en-US"/>
              </w:rPr>
            </w:pPr>
            <w:r w:rsidRPr="00733781">
              <w:rPr>
                <w:rFonts w:ascii="Cambria" w:eastAsia="Arial" w:hAnsi="Cambria" w:cs="Arial"/>
                <w:sz w:val="20"/>
                <w:szCs w:val="20"/>
                <w:lang w:val="en-US"/>
              </w:rPr>
              <w:t>Time</w:t>
            </w:r>
          </w:p>
        </w:tc>
        <w:tc>
          <w:tcPr>
            <w:tcW w:w="251" w:type="dxa"/>
          </w:tcPr>
          <w:p w14:paraId="7882368E" w14:textId="77777777" w:rsidR="00415D85" w:rsidRPr="00733781" w:rsidRDefault="00415D85" w:rsidP="00170750">
            <w:pPr>
              <w:spacing w:before="100" w:beforeAutospacing="1" w:after="100" w:afterAutospacing="1" w:line="288" w:lineRule="auto"/>
              <w:jc w:val="both"/>
              <w:rPr>
                <w:rFonts w:ascii="Cambria" w:eastAsia="Arial" w:hAnsi="Cambria" w:cs="Arial"/>
                <w:sz w:val="20"/>
                <w:szCs w:val="20"/>
                <w:lang w:val="en-US"/>
              </w:rPr>
            </w:pPr>
            <w:r w:rsidRPr="00733781">
              <w:rPr>
                <w:rFonts w:ascii="Cambria" w:eastAsia="Arial" w:hAnsi="Cambria" w:cs="Arial"/>
                <w:sz w:val="20"/>
                <w:szCs w:val="20"/>
                <w:lang w:val="en-US"/>
              </w:rPr>
              <w:t>:</w:t>
            </w:r>
          </w:p>
        </w:tc>
        <w:tc>
          <w:tcPr>
            <w:tcW w:w="5811" w:type="dxa"/>
          </w:tcPr>
          <w:p w14:paraId="3673EF4E" w14:textId="01096A12" w:rsidR="00415D85" w:rsidRPr="00733781" w:rsidRDefault="000E17D3" w:rsidP="00170750">
            <w:pPr>
              <w:spacing w:before="100" w:beforeAutospacing="1" w:after="100" w:afterAutospacing="1" w:line="288" w:lineRule="auto"/>
              <w:jc w:val="both"/>
              <w:rPr>
                <w:rFonts w:ascii="Cambria" w:eastAsia="Arial" w:hAnsi="Cambria" w:cs="Arial"/>
                <w:sz w:val="20"/>
                <w:szCs w:val="20"/>
                <w:lang w:val="en-US"/>
              </w:rPr>
            </w:pPr>
            <w:r w:rsidRPr="000E17D3">
              <w:rPr>
                <w:rFonts w:ascii="Cambria" w:eastAsia="Arial" w:hAnsi="Cambria" w:cs="Arial"/>
                <w:sz w:val="20"/>
                <w:szCs w:val="20"/>
                <w:lang w:val="en-US"/>
              </w:rPr>
              <w:t>2:00 PM until finished</w:t>
            </w:r>
          </w:p>
        </w:tc>
      </w:tr>
      <w:tr w:rsidR="00415D85" w:rsidRPr="00733781" w14:paraId="54B0E8DE" w14:textId="77777777" w:rsidTr="00170750">
        <w:tc>
          <w:tcPr>
            <w:tcW w:w="3005" w:type="dxa"/>
          </w:tcPr>
          <w:p w14:paraId="40246255" w14:textId="5F26D80E" w:rsidR="00415D85" w:rsidRPr="00733781" w:rsidRDefault="00415D85" w:rsidP="00170750">
            <w:pPr>
              <w:spacing w:before="100" w:beforeAutospacing="1" w:after="100" w:afterAutospacing="1" w:line="288" w:lineRule="auto"/>
              <w:jc w:val="both"/>
              <w:rPr>
                <w:rFonts w:ascii="Cambria" w:eastAsia="Arial" w:hAnsi="Cambria" w:cs="Arial"/>
                <w:sz w:val="20"/>
                <w:szCs w:val="20"/>
                <w:lang w:val="en-US"/>
              </w:rPr>
            </w:pPr>
            <w:r w:rsidRPr="00733781">
              <w:rPr>
                <w:rFonts w:ascii="Cambria" w:eastAsia="Arial" w:hAnsi="Cambria" w:cs="Arial"/>
                <w:sz w:val="20"/>
                <w:szCs w:val="20"/>
                <w:lang w:val="en-US"/>
              </w:rPr>
              <w:t>Venue</w:t>
            </w:r>
          </w:p>
        </w:tc>
        <w:tc>
          <w:tcPr>
            <w:tcW w:w="251" w:type="dxa"/>
          </w:tcPr>
          <w:p w14:paraId="4EDD2614" w14:textId="77777777" w:rsidR="00415D85" w:rsidRPr="00733781" w:rsidRDefault="00415D85" w:rsidP="00170750">
            <w:pPr>
              <w:spacing w:before="100" w:beforeAutospacing="1" w:after="100" w:afterAutospacing="1" w:line="288" w:lineRule="auto"/>
              <w:jc w:val="both"/>
              <w:rPr>
                <w:rFonts w:ascii="Cambria" w:eastAsia="Arial" w:hAnsi="Cambria" w:cs="Arial"/>
                <w:sz w:val="20"/>
                <w:szCs w:val="20"/>
                <w:lang w:val="en-US"/>
              </w:rPr>
            </w:pPr>
            <w:r w:rsidRPr="00733781">
              <w:rPr>
                <w:rFonts w:ascii="Cambria" w:eastAsia="Arial" w:hAnsi="Cambria" w:cs="Arial"/>
                <w:sz w:val="20"/>
                <w:szCs w:val="20"/>
                <w:lang w:val="en-US"/>
              </w:rPr>
              <w:t>:</w:t>
            </w:r>
          </w:p>
        </w:tc>
        <w:tc>
          <w:tcPr>
            <w:tcW w:w="5811" w:type="dxa"/>
          </w:tcPr>
          <w:p w14:paraId="150AA6E2" w14:textId="09FDB3C8" w:rsidR="00415D85" w:rsidRPr="00733781" w:rsidRDefault="00415D85" w:rsidP="00170750">
            <w:pPr>
              <w:spacing w:before="100" w:beforeAutospacing="1" w:after="100" w:afterAutospacing="1" w:line="288" w:lineRule="auto"/>
              <w:jc w:val="both"/>
              <w:rPr>
                <w:rFonts w:ascii="Cambria" w:eastAsia="Arial" w:hAnsi="Cambria" w:cs="Arial"/>
                <w:sz w:val="20"/>
                <w:szCs w:val="20"/>
                <w:lang w:val="en-US"/>
              </w:rPr>
            </w:pPr>
            <w:r w:rsidRPr="00733781">
              <w:rPr>
                <w:rFonts w:ascii="Cambria" w:eastAsia="Arial" w:hAnsi="Cambria" w:cs="Arial"/>
                <w:sz w:val="20"/>
                <w:szCs w:val="20"/>
                <w:lang w:val="en-US"/>
              </w:rPr>
              <w:t xml:space="preserve">South </w:t>
            </w:r>
            <w:proofErr w:type="gramStart"/>
            <w:r w:rsidRPr="00733781">
              <w:rPr>
                <w:rFonts w:ascii="Cambria" w:eastAsia="Arial" w:hAnsi="Cambria" w:cs="Arial"/>
                <w:sz w:val="20"/>
                <w:szCs w:val="20"/>
                <w:lang w:val="en-US"/>
              </w:rPr>
              <w:t xml:space="preserve">Jakarta,  </w:t>
            </w:r>
            <w:r w:rsidRPr="00733781">
              <w:rPr>
                <w:rFonts w:ascii="Cambria" w:eastAsia="Arial" w:hAnsi="Cambria" w:cs="Arial"/>
                <w:sz w:val="20"/>
                <w:szCs w:val="20"/>
              </w:rPr>
              <w:t>(</w:t>
            </w:r>
            <w:proofErr w:type="gramEnd"/>
            <w:r w:rsidRPr="00733781">
              <w:rPr>
                <w:rFonts w:ascii="Cambria" w:eastAsia="Arial" w:hAnsi="Cambria" w:cs="Arial"/>
                <w:sz w:val="20"/>
                <w:szCs w:val="20"/>
              </w:rPr>
              <w:t>electronically via the KSEI Electronic General Meeting System facility ("eA</w:t>
            </w:r>
            <w:r w:rsidR="00A12806" w:rsidRPr="00733781">
              <w:rPr>
                <w:rFonts w:ascii="Cambria" w:eastAsia="Arial" w:hAnsi="Cambria" w:cs="Arial"/>
                <w:sz w:val="20"/>
                <w:szCs w:val="20"/>
              </w:rPr>
              <w:t>SY</w:t>
            </w:r>
            <w:r w:rsidRPr="00733781">
              <w:rPr>
                <w:rFonts w:ascii="Cambria" w:eastAsia="Arial" w:hAnsi="Cambria" w:cs="Arial"/>
                <w:sz w:val="20"/>
                <w:szCs w:val="20"/>
              </w:rPr>
              <w:t>.KSEI") through the link AKSes KSEI provided by PT Kustodian Sentral Efek Indonesia ("KSEI"))</w:t>
            </w:r>
          </w:p>
        </w:tc>
      </w:tr>
    </w:tbl>
    <w:p w14:paraId="52F436D9" w14:textId="77777777" w:rsidR="00415D85" w:rsidRPr="00733781" w:rsidRDefault="00415D85" w:rsidP="00B8700B">
      <w:pPr>
        <w:pStyle w:val="BodyText2"/>
        <w:ind w:right="70"/>
        <w:rPr>
          <w:rFonts w:ascii="Cambria" w:hAnsi="Cambria" w:cs="Arial"/>
          <w:sz w:val="20"/>
          <w:lang w:val="en-US"/>
        </w:rPr>
      </w:pPr>
    </w:p>
    <w:p w14:paraId="6CB0F57C" w14:textId="77777777" w:rsidR="00415D85" w:rsidRPr="00733781" w:rsidRDefault="00415D85" w:rsidP="00B8700B">
      <w:pPr>
        <w:pStyle w:val="BodyText2"/>
        <w:ind w:right="70"/>
        <w:rPr>
          <w:rFonts w:ascii="Cambria" w:hAnsi="Cambria" w:cs="Arial"/>
          <w:sz w:val="20"/>
          <w:lang w:val="en-US"/>
        </w:rPr>
      </w:pPr>
    </w:p>
    <w:p w14:paraId="499089F5" w14:textId="77777777" w:rsidR="00B8700B" w:rsidRPr="00733781" w:rsidRDefault="00B8700B" w:rsidP="00B8700B">
      <w:pPr>
        <w:suppressAutoHyphens/>
        <w:jc w:val="both"/>
        <w:rPr>
          <w:rFonts w:ascii="Cambria" w:hAnsi="Cambria" w:cs="Arial"/>
          <w:sz w:val="20"/>
          <w:szCs w:val="20"/>
          <w:lang w:eastAsia="x-none"/>
        </w:rPr>
      </w:pPr>
      <w:r w:rsidRPr="00733781">
        <w:rPr>
          <w:rFonts w:ascii="Cambria" w:hAnsi="Cambria" w:cs="Arial"/>
          <w:sz w:val="20"/>
          <w:szCs w:val="20"/>
          <w:lang w:eastAsia="x-none"/>
        </w:rPr>
        <w:t xml:space="preserve">With the following Agenda: </w:t>
      </w:r>
    </w:p>
    <w:p w14:paraId="49094BF4" w14:textId="77777777" w:rsidR="00B8700B" w:rsidRPr="00733781" w:rsidRDefault="00B8700B" w:rsidP="00B8700B">
      <w:pPr>
        <w:suppressAutoHyphens/>
        <w:jc w:val="both"/>
        <w:rPr>
          <w:rFonts w:ascii="Cambria" w:hAnsi="Cambria" w:cs="Arial"/>
          <w:sz w:val="20"/>
          <w:szCs w:val="20"/>
          <w:lang w:eastAsia="x-none"/>
        </w:rPr>
      </w:pPr>
    </w:p>
    <w:p w14:paraId="04B3A237" w14:textId="77777777" w:rsidR="00B8700B" w:rsidRPr="00733781" w:rsidRDefault="00B8700B" w:rsidP="00B8700B">
      <w:pPr>
        <w:pStyle w:val="BodyText2"/>
        <w:ind w:right="70"/>
        <w:rPr>
          <w:rFonts w:ascii="Cambria" w:hAnsi="Cambria" w:cs="Arial"/>
          <w:sz w:val="20"/>
          <w:u w:val="single"/>
        </w:rPr>
      </w:pPr>
      <w:r w:rsidRPr="00733781">
        <w:rPr>
          <w:rFonts w:ascii="Cambria" w:hAnsi="Cambria" w:cs="Arial"/>
          <w:b/>
          <w:bCs/>
          <w:sz w:val="20"/>
          <w:u w:val="single"/>
        </w:rPr>
        <w:t>AGMS</w:t>
      </w:r>
      <w:r w:rsidRPr="00733781">
        <w:rPr>
          <w:rFonts w:ascii="Cambria" w:hAnsi="Cambria" w:cs="Arial"/>
          <w:sz w:val="20"/>
          <w:u w:val="single"/>
        </w:rPr>
        <w:t>:</w:t>
      </w:r>
    </w:p>
    <w:p w14:paraId="7A62D1E6" w14:textId="31458714" w:rsidR="00B8700B" w:rsidRPr="00733781" w:rsidRDefault="00B8700B" w:rsidP="00B8700B">
      <w:pPr>
        <w:pStyle w:val="BodyText2"/>
        <w:numPr>
          <w:ilvl w:val="0"/>
          <w:numId w:val="2"/>
        </w:numPr>
        <w:tabs>
          <w:tab w:val="clear" w:pos="1759"/>
        </w:tabs>
        <w:ind w:left="540" w:right="70" w:hanging="540"/>
        <w:rPr>
          <w:rStyle w:val="y2iqfc"/>
          <w:rFonts w:ascii="Cambria" w:hAnsi="Cambria" w:cs="Arial"/>
          <w:sz w:val="20"/>
          <w:u w:val="single"/>
        </w:rPr>
      </w:pPr>
      <w:r w:rsidRPr="00733781">
        <w:rPr>
          <w:rStyle w:val="y2iqfc"/>
          <w:rFonts w:ascii="Cambria" w:hAnsi="Cambria" w:cs="Arial"/>
          <w:sz w:val="20"/>
          <w:lang w:val="en"/>
        </w:rPr>
        <w:t>Approval of the Annual Report, ratification of the Financial Statements, and ratification of the Supervisory Report of the Board of Commissioners of the Company for the financial year ending December 31, 202</w:t>
      </w:r>
      <w:r w:rsidR="00415D85" w:rsidRPr="00733781">
        <w:rPr>
          <w:rStyle w:val="y2iqfc"/>
          <w:rFonts w:ascii="Cambria" w:hAnsi="Cambria" w:cs="Arial"/>
          <w:sz w:val="20"/>
          <w:lang w:val="en"/>
        </w:rPr>
        <w:t>5</w:t>
      </w:r>
      <w:r w:rsidRPr="00733781">
        <w:rPr>
          <w:rStyle w:val="y2iqfc"/>
          <w:rFonts w:ascii="Cambria" w:hAnsi="Cambria" w:cs="Arial"/>
          <w:sz w:val="20"/>
          <w:lang w:val="en"/>
        </w:rPr>
        <w:t>.</w:t>
      </w:r>
    </w:p>
    <w:p w14:paraId="3C1B4E0E" w14:textId="77777777" w:rsidR="00B8700B" w:rsidRPr="00733781" w:rsidRDefault="00B8700B" w:rsidP="00B8700B">
      <w:pPr>
        <w:pStyle w:val="BodyText2"/>
        <w:ind w:left="540" w:right="70"/>
        <w:rPr>
          <w:rStyle w:val="y2iqfc"/>
          <w:rFonts w:ascii="Cambria" w:hAnsi="Cambria" w:cs="Arial"/>
          <w:i/>
          <w:sz w:val="20"/>
          <w:lang w:val="en"/>
        </w:rPr>
      </w:pPr>
      <w:r w:rsidRPr="00733781">
        <w:rPr>
          <w:rStyle w:val="y2iqfc"/>
          <w:rFonts w:ascii="Cambria" w:hAnsi="Cambria" w:cs="Arial"/>
          <w:i/>
          <w:sz w:val="20"/>
          <w:lang w:val="en"/>
        </w:rPr>
        <w:t>Explanation:</w:t>
      </w:r>
    </w:p>
    <w:p w14:paraId="08E19077" w14:textId="77777777" w:rsidR="00415D85" w:rsidRPr="00733781" w:rsidRDefault="00415D85" w:rsidP="00415D85">
      <w:pPr>
        <w:pStyle w:val="BodyText2"/>
        <w:ind w:left="540" w:right="70"/>
        <w:rPr>
          <w:rFonts w:ascii="Cambria" w:hAnsi="Cambria" w:cs="Arial"/>
          <w:i/>
          <w:sz w:val="20"/>
          <w:lang w:val="en-US"/>
        </w:rPr>
      </w:pPr>
      <w:r w:rsidRPr="00733781">
        <w:rPr>
          <w:rFonts w:ascii="Cambria" w:hAnsi="Cambria" w:cs="Arial"/>
          <w:i/>
          <w:sz w:val="20"/>
          <w:lang w:val="en-US"/>
        </w:rPr>
        <w:t>The basis for this meeting agenda proposal is the provision of Article 69 Paragraph (1) of Law No. 40 of 2007 concerning Limited Liability Companies (“Company Law”), which states that the approval of the Annual Report, including the ratification of periodic Financial Statements and the oversight report of the Board of Commissioners, must be absolutely determined by the General Meeting of Shareholders.</w:t>
      </w:r>
    </w:p>
    <w:p w14:paraId="32208E53" w14:textId="42F8C26F" w:rsidR="00B8700B" w:rsidRPr="00733781" w:rsidRDefault="00B8700B" w:rsidP="00415D85">
      <w:pPr>
        <w:pStyle w:val="BodyText2"/>
        <w:ind w:left="540" w:right="70"/>
        <w:rPr>
          <w:rStyle w:val="y2iqfc"/>
          <w:rFonts w:ascii="Cambria" w:hAnsi="Cambria" w:cs="Arial"/>
          <w:i/>
          <w:sz w:val="20"/>
          <w:lang w:val="en"/>
        </w:rPr>
      </w:pPr>
    </w:p>
    <w:p w14:paraId="2600D61A" w14:textId="0DB4FD40" w:rsidR="00B8700B" w:rsidRPr="00733781" w:rsidRDefault="00B8700B" w:rsidP="00B8700B">
      <w:pPr>
        <w:pStyle w:val="BodyText2"/>
        <w:numPr>
          <w:ilvl w:val="0"/>
          <w:numId w:val="2"/>
        </w:numPr>
        <w:tabs>
          <w:tab w:val="clear" w:pos="1759"/>
        </w:tabs>
        <w:ind w:left="540" w:right="70" w:hanging="540"/>
        <w:rPr>
          <w:rStyle w:val="y2iqfc"/>
          <w:rFonts w:ascii="Cambria" w:hAnsi="Cambria" w:cs="Arial"/>
          <w:sz w:val="20"/>
          <w:u w:val="single"/>
        </w:rPr>
      </w:pPr>
      <w:r w:rsidRPr="00733781">
        <w:rPr>
          <w:rStyle w:val="y2iqfc"/>
          <w:rFonts w:ascii="Cambria" w:hAnsi="Cambria" w:cs="Arial"/>
          <w:sz w:val="20"/>
          <w:lang w:val="en"/>
        </w:rPr>
        <w:t>Determination of the use of the Company's Net Profit for the financial year ending December 31, 202</w:t>
      </w:r>
      <w:r w:rsidR="00415D85" w:rsidRPr="00733781">
        <w:rPr>
          <w:rStyle w:val="y2iqfc"/>
          <w:rFonts w:ascii="Cambria" w:hAnsi="Cambria" w:cs="Arial"/>
          <w:sz w:val="20"/>
          <w:lang w:val="en"/>
        </w:rPr>
        <w:t>5</w:t>
      </w:r>
      <w:r w:rsidRPr="00733781">
        <w:rPr>
          <w:rStyle w:val="y2iqfc"/>
          <w:rFonts w:ascii="Cambria" w:hAnsi="Cambria" w:cs="Arial"/>
          <w:sz w:val="20"/>
          <w:lang w:val="en"/>
        </w:rPr>
        <w:t>.</w:t>
      </w:r>
    </w:p>
    <w:p w14:paraId="09227605" w14:textId="77777777" w:rsidR="00B8700B" w:rsidRPr="00733781" w:rsidRDefault="00B8700B" w:rsidP="00B8700B">
      <w:pPr>
        <w:pStyle w:val="BodyText2"/>
        <w:ind w:left="540" w:right="70"/>
        <w:rPr>
          <w:rStyle w:val="y2iqfc"/>
          <w:rFonts w:ascii="Cambria" w:hAnsi="Cambria" w:cs="Arial"/>
          <w:i/>
          <w:sz w:val="20"/>
          <w:lang w:val="en-US"/>
        </w:rPr>
      </w:pPr>
      <w:r w:rsidRPr="00733781">
        <w:rPr>
          <w:rStyle w:val="y2iqfc"/>
          <w:rFonts w:ascii="Cambria" w:hAnsi="Cambria" w:cs="Arial"/>
          <w:i/>
          <w:sz w:val="20"/>
          <w:lang w:val="en-US"/>
        </w:rPr>
        <w:t>Explanation:</w:t>
      </w:r>
    </w:p>
    <w:p w14:paraId="0A1657BD" w14:textId="4E73BB56" w:rsidR="00B8700B" w:rsidRPr="00733781" w:rsidRDefault="00415D85" w:rsidP="00B8700B">
      <w:pPr>
        <w:pStyle w:val="BodyText2"/>
        <w:ind w:left="540" w:right="70"/>
        <w:rPr>
          <w:rStyle w:val="y2iqfc"/>
          <w:rFonts w:ascii="Cambria" w:hAnsi="Cambria" w:cs="Arial"/>
          <w:i/>
          <w:sz w:val="20"/>
        </w:rPr>
      </w:pPr>
      <w:r w:rsidRPr="00733781">
        <w:rPr>
          <w:rFonts w:ascii="Cambria" w:hAnsi="Cambria" w:cs="Arial"/>
          <w:i/>
          <w:sz w:val="20"/>
          <w:lang w:val="id-ID"/>
        </w:rPr>
        <w:t>The basis for this meeting agenda proposal is the provisions of Article 70 and Article 71 of the Company Law, which regulate that the Company is required to allocate a certain amount from its net profit each financial year for reserves, provided that the company records a positive retained earnings balance. It also states that the utilization of the Company's net profit shall be decided by the General Meeting of Shareholders</w:t>
      </w:r>
      <w:r w:rsidR="00B8700B" w:rsidRPr="00733781">
        <w:rPr>
          <w:rStyle w:val="y2iqfc"/>
          <w:rFonts w:ascii="Cambria" w:hAnsi="Cambria" w:cs="Arial"/>
          <w:i/>
          <w:sz w:val="20"/>
        </w:rPr>
        <w:t>.</w:t>
      </w:r>
    </w:p>
    <w:p w14:paraId="1630B0CC" w14:textId="77777777" w:rsidR="00B8700B" w:rsidRPr="00733781" w:rsidRDefault="00B8700B" w:rsidP="00B8700B">
      <w:pPr>
        <w:pStyle w:val="BodyText2"/>
        <w:ind w:left="540" w:right="70"/>
        <w:rPr>
          <w:rStyle w:val="y2iqfc"/>
          <w:rFonts w:ascii="Cambria" w:hAnsi="Cambria" w:cs="Arial"/>
          <w:i/>
          <w:sz w:val="20"/>
        </w:rPr>
      </w:pPr>
    </w:p>
    <w:p w14:paraId="64FB525B" w14:textId="555028B2" w:rsidR="00B8700B" w:rsidRPr="00733781" w:rsidRDefault="00B8700B" w:rsidP="00B8700B">
      <w:pPr>
        <w:pStyle w:val="BodyText2"/>
        <w:numPr>
          <w:ilvl w:val="0"/>
          <w:numId w:val="2"/>
        </w:numPr>
        <w:tabs>
          <w:tab w:val="clear" w:pos="1759"/>
        </w:tabs>
        <w:ind w:left="540" w:right="70" w:hanging="540"/>
        <w:rPr>
          <w:rStyle w:val="y2iqfc"/>
          <w:rFonts w:ascii="Cambria" w:hAnsi="Cambria" w:cs="Arial"/>
          <w:sz w:val="20"/>
          <w:u w:val="single"/>
        </w:rPr>
      </w:pPr>
      <w:r w:rsidRPr="00733781">
        <w:rPr>
          <w:rStyle w:val="y2iqfc"/>
          <w:rFonts w:ascii="Cambria" w:hAnsi="Cambria" w:cs="Arial"/>
          <w:sz w:val="20"/>
          <w:lang w:val="en"/>
        </w:rPr>
        <w:t>Appointment of a Public Accounting Firm to audit the Company's Financial Statements for the financial year ending December 31, 202</w:t>
      </w:r>
      <w:r w:rsidR="00415D85" w:rsidRPr="00733781">
        <w:rPr>
          <w:rStyle w:val="y2iqfc"/>
          <w:rFonts w:ascii="Cambria" w:hAnsi="Cambria" w:cs="Arial"/>
          <w:sz w:val="20"/>
          <w:lang w:val="en"/>
        </w:rPr>
        <w:t>6</w:t>
      </w:r>
      <w:r w:rsidRPr="00733781">
        <w:rPr>
          <w:rStyle w:val="y2iqfc"/>
          <w:rFonts w:ascii="Cambria" w:hAnsi="Cambria" w:cs="Arial"/>
          <w:sz w:val="20"/>
          <w:lang w:val="en"/>
        </w:rPr>
        <w:t>.</w:t>
      </w:r>
    </w:p>
    <w:p w14:paraId="18935B81" w14:textId="77777777" w:rsidR="00B8700B" w:rsidRPr="00733781" w:rsidRDefault="00B8700B" w:rsidP="00B8700B">
      <w:pPr>
        <w:pStyle w:val="BodyText2"/>
        <w:ind w:right="70" w:firstLine="540"/>
        <w:rPr>
          <w:rStyle w:val="y2iqfc"/>
          <w:rFonts w:ascii="Cambria" w:hAnsi="Cambria" w:cs="Arial"/>
          <w:i/>
          <w:sz w:val="20"/>
          <w:lang w:val="en-US"/>
        </w:rPr>
      </w:pPr>
      <w:r w:rsidRPr="00733781">
        <w:rPr>
          <w:rStyle w:val="y2iqfc"/>
          <w:rFonts w:ascii="Cambria" w:hAnsi="Cambria" w:cs="Arial"/>
          <w:i/>
          <w:sz w:val="20"/>
          <w:lang w:val="en-US"/>
        </w:rPr>
        <w:t>Explanation:</w:t>
      </w:r>
    </w:p>
    <w:p w14:paraId="682A33A9" w14:textId="174D62AF" w:rsidR="00B8700B" w:rsidRPr="00733781" w:rsidRDefault="00415D85" w:rsidP="00B8700B">
      <w:pPr>
        <w:pStyle w:val="BodyText2"/>
        <w:ind w:left="540" w:right="70"/>
        <w:rPr>
          <w:rStyle w:val="y2iqfc"/>
          <w:rFonts w:ascii="Cambria" w:hAnsi="Cambria" w:cs="Arial"/>
          <w:i/>
          <w:sz w:val="20"/>
        </w:rPr>
      </w:pPr>
      <w:r w:rsidRPr="00733781">
        <w:rPr>
          <w:rFonts w:ascii="Cambria" w:hAnsi="Cambria" w:cs="Arial"/>
          <w:i/>
          <w:sz w:val="20"/>
          <w:lang w:val="id-ID"/>
        </w:rPr>
        <w:t>The basis for this meeting agenda proposal is the provision of Article 3 paragraph (1) of OJK Regulation (POJK) Number 9 of 2023 concerning the Use of Public Accountant and Public Accounting Firm Services, as well as Article 68 of the Company Law, which states that the Board of Directors is required to submit the Company's financial statements to a public accountant to be audited</w:t>
      </w:r>
      <w:r w:rsidR="00B8700B" w:rsidRPr="00733781">
        <w:rPr>
          <w:rStyle w:val="y2iqfc"/>
          <w:rFonts w:ascii="Cambria" w:hAnsi="Cambria" w:cs="Arial"/>
          <w:i/>
          <w:sz w:val="20"/>
        </w:rPr>
        <w:t>.</w:t>
      </w:r>
    </w:p>
    <w:p w14:paraId="360CC565" w14:textId="77777777" w:rsidR="00B8700B" w:rsidRPr="00733781" w:rsidRDefault="00B8700B" w:rsidP="00B8700B">
      <w:pPr>
        <w:pStyle w:val="BodyText2"/>
        <w:ind w:left="540" w:right="70"/>
        <w:rPr>
          <w:rStyle w:val="y2iqfc"/>
          <w:rFonts w:ascii="Cambria" w:hAnsi="Cambria" w:cs="Arial"/>
          <w:sz w:val="20"/>
          <w:u w:val="single"/>
        </w:rPr>
      </w:pPr>
    </w:p>
    <w:p w14:paraId="22FD75DB" w14:textId="1E576EE1" w:rsidR="00B8700B" w:rsidRPr="00733781" w:rsidRDefault="00B8700B" w:rsidP="00B8700B">
      <w:pPr>
        <w:pStyle w:val="BodyText2"/>
        <w:numPr>
          <w:ilvl w:val="0"/>
          <w:numId w:val="2"/>
        </w:numPr>
        <w:tabs>
          <w:tab w:val="clear" w:pos="1759"/>
        </w:tabs>
        <w:ind w:left="540" w:right="70" w:hanging="540"/>
        <w:rPr>
          <w:rStyle w:val="y2iqfc"/>
          <w:rFonts w:ascii="Cambria" w:hAnsi="Cambria" w:cs="Arial"/>
          <w:sz w:val="20"/>
          <w:u w:val="single"/>
        </w:rPr>
      </w:pPr>
      <w:r w:rsidRPr="00733781">
        <w:rPr>
          <w:rStyle w:val="y2iqfc"/>
          <w:rFonts w:ascii="Cambria" w:hAnsi="Cambria" w:cs="Arial"/>
          <w:sz w:val="20"/>
          <w:lang w:val="en"/>
        </w:rPr>
        <w:t>Approval of granting and delegation of authority to the Company's Board of Commissioners to determine the remuneration package including allowances, bonuses and facilities provided to the Company's Board of Commissioners and Directors for the financial year ending on December 31, 202</w:t>
      </w:r>
      <w:r w:rsidR="00415D85" w:rsidRPr="00733781">
        <w:rPr>
          <w:rStyle w:val="y2iqfc"/>
          <w:rFonts w:ascii="Cambria" w:hAnsi="Cambria" w:cs="Arial"/>
          <w:sz w:val="20"/>
          <w:lang w:val="en"/>
        </w:rPr>
        <w:t>6</w:t>
      </w:r>
      <w:r w:rsidRPr="00733781">
        <w:rPr>
          <w:rStyle w:val="y2iqfc"/>
          <w:rFonts w:ascii="Cambria" w:hAnsi="Cambria" w:cs="Arial"/>
          <w:sz w:val="20"/>
          <w:lang w:val="en"/>
        </w:rPr>
        <w:t>.</w:t>
      </w:r>
    </w:p>
    <w:p w14:paraId="709F14F1" w14:textId="77777777" w:rsidR="00B8700B" w:rsidRPr="00733781" w:rsidRDefault="00B8700B" w:rsidP="00B8700B">
      <w:pPr>
        <w:pStyle w:val="BodyText2"/>
        <w:ind w:left="540" w:right="70"/>
        <w:rPr>
          <w:rStyle w:val="y2iqfc"/>
          <w:rFonts w:ascii="Cambria" w:hAnsi="Cambria" w:cs="Arial"/>
          <w:i/>
          <w:sz w:val="20"/>
          <w:lang w:val="en-US"/>
        </w:rPr>
      </w:pPr>
      <w:r w:rsidRPr="00733781">
        <w:rPr>
          <w:rStyle w:val="y2iqfc"/>
          <w:rFonts w:ascii="Cambria" w:hAnsi="Cambria" w:cs="Arial"/>
          <w:i/>
          <w:sz w:val="20"/>
          <w:lang w:val="en-US"/>
        </w:rPr>
        <w:t>Explanation:</w:t>
      </w:r>
    </w:p>
    <w:p w14:paraId="21F35F35" w14:textId="385DBE5F" w:rsidR="00B8700B" w:rsidRPr="00733781" w:rsidRDefault="00415D85" w:rsidP="00B8700B">
      <w:pPr>
        <w:pStyle w:val="BodyText2"/>
        <w:ind w:left="540" w:right="70"/>
        <w:rPr>
          <w:rStyle w:val="y2iqfc"/>
          <w:rFonts w:ascii="Cambria" w:hAnsi="Cambria" w:cs="Arial"/>
          <w:i/>
          <w:sz w:val="20"/>
        </w:rPr>
      </w:pPr>
      <w:r w:rsidRPr="00733781">
        <w:rPr>
          <w:rFonts w:ascii="Cambria" w:hAnsi="Cambria" w:cs="Arial"/>
          <w:i/>
          <w:sz w:val="20"/>
          <w:lang w:val="id-ID"/>
        </w:rPr>
        <w:t>The basis for this meeting agenda proposal is the provisions of Article 96 and Article 113 of the Company Law, which state that the amount of salary and allowances for members of the Board of Directors and the Board of Commissioners shall be determined based on the resolution of the General Meeting of Shareholders</w:t>
      </w:r>
      <w:r w:rsidR="00B8700B" w:rsidRPr="00733781">
        <w:rPr>
          <w:rStyle w:val="y2iqfc"/>
          <w:rFonts w:ascii="Cambria" w:hAnsi="Cambria" w:cs="Arial"/>
          <w:i/>
          <w:sz w:val="20"/>
        </w:rPr>
        <w:t>.</w:t>
      </w:r>
    </w:p>
    <w:p w14:paraId="10983F43" w14:textId="77777777" w:rsidR="00B8700B" w:rsidRPr="00733781" w:rsidRDefault="00B8700B" w:rsidP="00B8700B">
      <w:pPr>
        <w:pStyle w:val="BodyText2"/>
        <w:ind w:right="70"/>
        <w:rPr>
          <w:rFonts w:ascii="Cambria" w:hAnsi="Cambria" w:cs="Arial"/>
          <w:sz w:val="20"/>
          <w:lang w:val="en-US"/>
        </w:rPr>
      </w:pPr>
    </w:p>
    <w:p w14:paraId="3BBF99FF" w14:textId="77777777" w:rsidR="00B8700B" w:rsidRPr="00733781" w:rsidRDefault="00B8700B" w:rsidP="00B8700B">
      <w:pPr>
        <w:pStyle w:val="ListLevel2"/>
        <w:keepNext/>
        <w:widowControl w:val="0"/>
        <w:numPr>
          <w:ilvl w:val="0"/>
          <w:numId w:val="0"/>
        </w:numPr>
        <w:spacing w:before="0" w:beforeAutospacing="0" w:after="0" w:afterAutospacing="0" w:line="240" w:lineRule="auto"/>
        <w:ind w:left="720"/>
        <w:rPr>
          <w:rFonts w:ascii="Cambria" w:hAnsi="Cambria"/>
          <w:b/>
          <w:bCs/>
        </w:rPr>
      </w:pPr>
    </w:p>
    <w:p w14:paraId="4083AF5E" w14:textId="77777777" w:rsidR="00B8700B" w:rsidRPr="00733781" w:rsidRDefault="00B8700B" w:rsidP="00B870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Cambria" w:hAnsi="Cambria" w:cs="Arial"/>
          <w:b/>
          <w:bCs/>
          <w:color w:val="212121"/>
          <w:u w:val="single"/>
        </w:rPr>
      </w:pPr>
      <w:r w:rsidRPr="00733781">
        <w:rPr>
          <w:rFonts w:ascii="Cambria" w:hAnsi="Cambria" w:cs="Arial"/>
          <w:b/>
          <w:bCs/>
          <w:color w:val="212121"/>
          <w:u w:val="single"/>
        </w:rPr>
        <w:t>EGMS:</w:t>
      </w:r>
    </w:p>
    <w:p w14:paraId="16EB79ED" w14:textId="77777777" w:rsidR="00B8700B" w:rsidRPr="00733781" w:rsidRDefault="00B8700B" w:rsidP="00B8700B">
      <w:pPr>
        <w:pStyle w:val="HTMLPreformatted"/>
        <w:jc w:val="both"/>
        <w:rPr>
          <w:rStyle w:val="y2iqfc"/>
          <w:rFonts w:ascii="Cambria" w:hAnsi="Cambria" w:cs="Arial"/>
          <w:lang w:val="en"/>
        </w:rPr>
      </w:pPr>
    </w:p>
    <w:p w14:paraId="62B1253B" w14:textId="77777777" w:rsidR="00B8700B" w:rsidRPr="00733781" w:rsidRDefault="00B8700B" w:rsidP="00B8700B">
      <w:pPr>
        <w:pStyle w:val="HTMLPreformatted"/>
        <w:numPr>
          <w:ilvl w:val="3"/>
          <w:numId w:val="1"/>
        </w:numPr>
        <w:tabs>
          <w:tab w:val="clear" w:pos="916"/>
          <w:tab w:val="clear" w:pos="1832"/>
          <w:tab w:val="clear" w:pos="2748"/>
          <w:tab w:val="left" w:pos="574"/>
        </w:tabs>
        <w:ind w:left="567" w:hanging="567"/>
        <w:jc w:val="both"/>
        <w:rPr>
          <w:rStyle w:val="y2iqfc"/>
          <w:rFonts w:ascii="Cambria" w:hAnsi="Cambria" w:cs="Arial"/>
          <w:lang w:val="en" w:eastAsia="x-none"/>
        </w:rPr>
      </w:pPr>
      <w:r w:rsidRPr="00733781">
        <w:rPr>
          <w:rStyle w:val="y2iqfc"/>
          <w:rFonts w:ascii="Cambria" w:hAnsi="Cambria" w:cs="Arial"/>
          <w:lang w:val="en" w:eastAsia="x-none"/>
        </w:rPr>
        <w:t>Approval to the Board of Directors to transfer, release rights or make debt collateral for the Company's assets, either partially or wholly in one transaction or several transactions that stand alone or are related to each other, for a period of 1 (one) year after this EGMS, in the context of financial facilities (including the issuance of debt securities and / or sukuk, either through a public offering or without a public offering) received by the Company and / or Subsidiaries, or extension or refinancing (along with all additions and / or changes).</w:t>
      </w:r>
    </w:p>
    <w:p w14:paraId="40EE21C0" w14:textId="77777777" w:rsidR="00B8700B" w:rsidRPr="00733781" w:rsidRDefault="00B8700B" w:rsidP="00B8700B">
      <w:pPr>
        <w:pStyle w:val="HTMLPreformatted"/>
        <w:tabs>
          <w:tab w:val="clear" w:pos="916"/>
          <w:tab w:val="clear" w:pos="1832"/>
          <w:tab w:val="clear" w:pos="2748"/>
          <w:tab w:val="left" w:pos="574"/>
        </w:tabs>
        <w:ind w:left="567"/>
        <w:jc w:val="both"/>
        <w:rPr>
          <w:rStyle w:val="y2iqfc"/>
          <w:rFonts w:ascii="Cambria" w:hAnsi="Cambria" w:cs="Arial"/>
          <w:lang w:val="en" w:eastAsia="x-none"/>
        </w:rPr>
      </w:pPr>
      <w:r w:rsidRPr="00733781">
        <w:rPr>
          <w:rStyle w:val="y2iqfc"/>
          <w:rFonts w:ascii="Cambria" w:hAnsi="Cambria" w:cs="Arial"/>
          <w:lang w:val="en" w:eastAsia="x-none"/>
        </w:rPr>
        <w:t>Explanation:</w:t>
      </w:r>
    </w:p>
    <w:p w14:paraId="0A918A03" w14:textId="77777777" w:rsidR="00B8700B" w:rsidRPr="00733781" w:rsidRDefault="00B8700B" w:rsidP="00B8700B">
      <w:pPr>
        <w:pStyle w:val="HTMLPreformatted"/>
        <w:tabs>
          <w:tab w:val="clear" w:pos="916"/>
          <w:tab w:val="clear" w:pos="1832"/>
          <w:tab w:val="clear" w:pos="2748"/>
          <w:tab w:val="left" w:pos="574"/>
        </w:tabs>
        <w:ind w:left="567"/>
        <w:jc w:val="both"/>
        <w:rPr>
          <w:rStyle w:val="y2iqfc"/>
          <w:rFonts w:ascii="Cambria" w:hAnsi="Cambria" w:cs="Arial"/>
          <w:i/>
          <w:lang w:val="en" w:eastAsia="x-none"/>
        </w:rPr>
      </w:pPr>
      <w:r w:rsidRPr="00733781">
        <w:rPr>
          <w:rStyle w:val="y2iqfc"/>
          <w:rFonts w:ascii="Cambria" w:hAnsi="Cambria" w:cs="Arial"/>
          <w:i/>
          <w:lang w:val="en" w:eastAsia="x-none"/>
        </w:rPr>
        <w:t>Explanation of the agenda of this meeting is the granting of power and authority to the Company in order to transfer the Company's assets or make debt collateral for the Company's assets which constitute more than 50% (fifty percent) of the Company's net assets in 1 (one) fiscal year, either in 1 (one) transaction or more, whether related to each other or not, for the Company's plan to obtain loans.</w:t>
      </w:r>
    </w:p>
    <w:p w14:paraId="0C683E9B" w14:textId="77777777" w:rsidR="00B8700B" w:rsidRPr="00733781" w:rsidRDefault="00B8700B" w:rsidP="00B8700B">
      <w:pPr>
        <w:pStyle w:val="HTMLPreformatted"/>
        <w:tabs>
          <w:tab w:val="clear" w:pos="916"/>
          <w:tab w:val="clear" w:pos="1832"/>
          <w:tab w:val="clear" w:pos="2748"/>
          <w:tab w:val="left" w:pos="574"/>
        </w:tabs>
        <w:jc w:val="both"/>
        <w:rPr>
          <w:rStyle w:val="y2iqfc"/>
          <w:rFonts w:ascii="Cambria" w:hAnsi="Cambria" w:cs="Arial"/>
          <w:i/>
          <w:lang w:val="en" w:eastAsia="x-none"/>
        </w:rPr>
      </w:pPr>
    </w:p>
    <w:p w14:paraId="1636658D" w14:textId="3B06EBB5" w:rsidR="00B8700B" w:rsidRPr="00733781" w:rsidRDefault="00415D85" w:rsidP="00B8700B">
      <w:pPr>
        <w:pStyle w:val="HTMLPreformatted"/>
        <w:numPr>
          <w:ilvl w:val="3"/>
          <w:numId w:val="1"/>
        </w:numPr>
        <w:tabs>
          <w:tab w:val="clear" w:pos="916"/>
          <w:tab w:val="clear" w:pos="1832"/>
          <w:tab w:val="clear" w:pos="2748"/>
          <w:tab w:val="left" w:pos="574"/>
        </w:tabs>
        <w:ind w:hanging="2478"/>
        <w:jc w:val="both"/>
        <w:rPr>
          <w:rStyle w:val="y2iqfc"/>
          <w:rFonts w:ascii="Cambria" w:hAnsi="Cambria" w:cs="Arial"/>
          <w:lang w:val="en" w:eastAsia="x-none"/>
        </w:rPr>
      </w:pPr>
      <w:r w:rsidRPr="00733781">
        <w:rPr>
          <w:rFonts w:ascii="Cambria" w:hAnsi="Cambria" w:cs="Arial"/>
          <w:lang w:val="id-ID" w:eastAsia="x-none"/>
        </w:rPr>
        <w:t>Approval for the amendment of the Company’s Articles of Association</w:t>
      </w:r>
      <w:r w:rsidR="00B8700B" w:rsidRPr="00733781">
        <w:rPr>
          <w:rStyle w:val="y2iqfc"/>
          <w:rFonts w:ascii="Cambria" w:hAnsi="Cambria" w:cs="Arial"/>
          <w:lang w:val="en" w:eastAsia="x-none"/>
        </w:rPr>
        <w:t xml:space="preserve">. </w:t>
      </w:r>
    </w:p>
    <w:p w14:paraId="3FE29043" w14:textId="77777777" w:rsidR="00B8700B" w:rsidRPr="00733781" w:rsidRDefault="00B8700B" w:rsidP="00B8700B">
      <w:pPr>
        <w:pStyle w:val="HTMLPreformatted"/>
        <w:tabs>
          <w:tab w:val="clear" w:pos="916"/>
          <w:tab w:val="clear" w:pos="1832"/>
          <w:tab w:val="clear" w:pos="2748"/>
          <w:tab w:val="left" w:pos="574"/>
        </w:tabs>
        <w:ind w:left="42"/>
        <w:jc w:val="both"/>
        <w:rPr>
          <w:rStyle w:val="y2iqfc"/>
          <w:rFonts w:ascii="Cambria" w:hAnsi="Cambria" w:cs="Arial"/>
          <w:lang w:val="en" w:eastAsia="x-none"/>
        </w:rPr>
      </w:pPr>
      <w:r w:rsidRPr="00733781">
        <w:rPr>
          <w:rStyle w:val="y2iqfc"/>
          <w:rFonts w:ascii="Cambria" w:hAnsi="Cambria" w:cs="Arial"/>
          <w:lang w:val="en" w:eastAsia="x-none"/>
        </w:rPr>
        <w:tab/>
        <w:t xml:space="preserve">Explanation: </w:t>
      </w:r>
    </w:p>
    <w:p w14:paraId="71C54376" w14:textId="06CF2675" w:rsidR="00B8700B" w:rsidRPr="00733781" w:rsidRDefault="00415D85" w:rsidP="00415D85">
      <w:pPr>
        <w:pStyle w:val="HTMLPreformatted"/>
        <w:tabs>
          <w:tab w:val="left" w:pos="574"/>
        </w:tabs>
        <w:ind w:left="574"/>
        <w:jc w:val="both"/>
        <w:rPr>
          <w:rStyle w:val="y2iqfc"/>
          <w:rFonts w:ascii="Cambria" w:hAnsi="Cambria" w:cs="Arial"/>
          <w:i/>
          <w:lang w:eastAsia="x-none"/>
        </w:rPr>
      </w:pPr>
      <w:r w:rsidRPr="00733781">
        <w:rPr>
          <w:rFonts w:ascii="Cambria" w:hAnsi="Cambria" w:cs="Arial"/>
          <w:i/>
          <w:lang w:eastAsia="x-none"/>
        </w:rPr>
        <w:t>The amendment to the Articles of Association carried out by the Company is an adjustment to the provisions regarding the purposes, objectives, and business activities of the Company to align with the latest Indonesian Standard Industrial Classification (KBLI) as determined by the competent authorities.</w:t>
      </w:r>
    </w:p>
    <w:p w14:paraId="37BA0000" w14:textId="77777777" w:rsidR="00B8700B" w:rsidRPr="00733781" w:rsidRDefault="00B8700B" w:rsidP="00B8700B">
      <w:pPr>
        <w:pStyle w:val="HTMLPreformatted"/>
        <w:jc w:val="both"/>
        <w:rPr>
          <w:rStyle w:val="y2iqfc"/>
          <w:rFonts w:ascii="Cambria" w:hAnsi="Cambria" w:cs="Arial"/>
          <w:i/>
          <w:lang w:val="en"/>
        </w:rPr>
      </w:pPr>
    </w:p>
    <w:p w14:paraId="759EDCD5" w14:textId="77777777" w:rsidR="00B8700B" w:rsidRPr="00733781" w:rsidRDefault="00B8700B" w:rsidP="00B8700B">
      <w:pPr>
        <w:suppressAutoHyphens/>
        <w:jc w:val="both"/>
        <w:rPr>
          <w:rFonts w:ascii="Cambria" w:hAnsi="Cambria" w:cs="Arial"/>
          <w:b/>
          <w:sz w:val="20"/>
          <w:szCs w:val="20"/>
          <w:u w:val="single"/>
        </w:rPr>
      </w:pPr>
      <w:r w:rsidRPr="00733781">
        <w:rPr>
          <w:rFonts w:ascii="Cambria" w:hAnsi="Cambria" w:cs="Arial"/>
          <w:b/>
          <w:sz w:val="20"/>
          <w:szCs w:val="20"/>
          <w:u w:val="single"/>
        </w:rPr>
        <w:t>Notes:</w:t>
      </w:r>
    </w:p>
    <w:p w14:paraId="6A8AD99A" w14:textId="7F77195C" w:rsidR="00B8700B" w:rsidRPr="00733781" w:rsidRDefault="00733781" w:rsidP="00B8700B">
      <w:pPr>
        <w:pStyle w:val="ListParagraph"/>
        <w:numPr>
          <w:ilvl w:val="0"/>
          <w:numId w:val="3"/>
        </w:numPr>
        <w:suppressAutoHyphens/>
        <w:jc w:val="both"/>
        <w:rPr>
          <w:rFonts w:ascii="Cambria" w:hAnsi="Cambria" w:cs="Arial"/>
          <w:b/>
          <w:bCs/>
          <w:sz w:val="20"/>
          <w:szCs w:val="20"/>
        </w:rPr>
      </w:pPr>
      <w:r w:rsidRPr="00733781">
        <w:rPr>
          <w:rFonts w:ascii="Cambria" w:hAnsi="Cambria" w:cs="Arial"/>
          <w:sz w:val="20"/>
          <w:szCs w:val="20"/>
        </w:rPr>
        <w:t xml:space="preserve">The Company does not send separate invitations to shareholders, as this Notice serves as the official invitation. This Notice can also be viewed on the Company's website </w:t>
      </w:r>
      <w:hyperlink r:id="rId7" w:history="1">
        <w:r w:rsidRPr="00733781">
          <w:rPr>
            <w:rStyle w:val="Hyperlink"/>
            <w:rFonts w:ascii="Cambria" w:hAnsi="Cambria" w:cs="Arial"/>
            <w:sz w:val="20"/>
            <w:szCs w:val="20"/>
          </w:rPr>
          <w:t>www.apolloglobalinteractive.com</w:t>
        </w:r>
      </w:hyperlink>
      <w:r w:rsidRPr="00733781">
        <w:rPr>
          <w:rFonts w:ascii="Cambria" w:hAnsi="Cambria" w:cs="Arial"/>
          <w:sz w:val="20"/>
          <w:szCs w:val="20"/>
        </w:rPr>
        <w:t xml:space="preserve">   and the eASY.KSEI application.</w:t>
      </w:r>
    </w:p>
    <w:p w14:paraId="17348BDF" w14:textId="77777777" w:rsidR="00733781" w:rsidRPr="00733781" w:rsidRDefault="00733781" w:rsidP="00733781">
      <w:pPr>
        <w:pStyle w:val="ListParagraph"/>
        <w:suppressAutoHyphens/>
        <w:ind w:left="360"/>
        <w:jc w:val="both"/>
        <w:rPr>
          <w:rFonts w:ascii="Cambria" w:hAnsi="Cambria" w:cs="Arial"/>
          <w:b/>
          <w:bCs/>
          <w:sz w:val="20"/>
          <w:szCs w:val="20"/>
        </w:rPr>
      </w:pPr>
    </w:p>
    <w:p w14:paraId="6BCADD75" w14:textId="46A89F64" w:rsidR="00B8700B" w:rsidRPr="00733781" w:rsidRDefault="00733781" w:rsidP="00B8700B">
      <w:pPr>
        <w:pStyle w:val="ListParagraph"/>
        <w:numPr>
          <w:ilvl w:val="0"/>
          <w:numId w:val="1"/>
        </w:numPr>
        <w:suppressAutoHyphens/>
        <w:jc w:val="both"/>
        <w:rPr>
          <w:rFonts w:ascii="Cambria" w:hAnsi="Cambria" w:cs="Arial"/>
          <w:bCs/>
          <w:sz w:val="20"/>
          <w:szCs w:val="20"/>
        </w:rPr>
      </w:pPr>
      <w:r w:rsidRPr="00733781">
        <w:rPr>
          <w:rFonts w:ascii="Cambria" w:hAnsi="Cambria" w:cs="Arial"/>
          <w:bCs/>
          <w:sz w:val="20"/>
          <w:szCs w:val="20"/>
        </w:rPr>
        <w:t xml:space="preserve">Materials related to the Meeting agenda are available on the Company's website from the date of this Notice, in accordance with the Company's information above. The announcement of the Meeting has been published through the Company's website, the Indonesia Stock Exchange website, and the website of PT Kustodian Sentral Efek Indonesia on </w:t>
      </w:r>
      <w:r w:rsidRPr="00733781">
        <w:rPr>
          <w:rFonts w:ascii="Cambria" w:hAnsi="Cambria" w:cs="Arial"/>
          <w:b/>
          <w:sz w:val="20"/>
          <w:szCs w:val="20"/>
        </w:rPr>
        <w:t>May 25, 2026</w:t>
      </w:r>
      <w:r w:rsidR="00B8700B" w:rsidRPr="00733781">
        <w:rPr>
          <w:rFonts w:ascii="Cambria" w:hAnsi="Cambria" w:cs="Arial"/>
          <w:b/>
          <w:sz w:val="20"/>
          <w:szCs w:val="20"/>
        </w:rPr>
        <w:t>.</w:t>
      </w:r>
    </w:p>
    <w:p w14:paraId="0BD8852F" w14:textId="77777777" w:rsidR="00733781" w:rsidRPr="00733781" w:rsidRDefault="00733781" w:rsidP="00733781">
      <w:pPr>
        <w:pStyle w:val="ListParagraph"/>
        <w:suppressAutoHyphens/>
        <w:ind w:left="360"/>
        <w:jc w:val="both"/>
        <w:rPr>
          <w:rFonts w:ascii="Cambria" w:hAnsi="Cambria" w:cs="Arial"/>
          <w:bCs/>
          <w:sz w:val="20"/>
          <w:szCs w:val="20"/>
        </w:rPr>
      </w:pPr>
    </w:p>
    <w:p w14:paraId="609EBCA6" w14:textId="623102E9" w:rsidR="00B8700B" w:rsidRPr="00733781" w:rsidRDefault="00B8700B" w:rsidP="00B8700B">
      <w:pPr>
        <w:pStyle w:val="ListParagraph"/>
        <w:numPr>
          <w:ilvl w:val="0"/>
          <w:numId w:val="1"/>
        </w:numPr>
        <w:suppressAutoHyphens/>
        <w:jc w:val="both"/>
        <w:rPr>
          <w:rFonts w:ascii="Cambria" w:hAnsi="Cambria" w:cs="Arial"/>
          <w:bCs/>
          <w:sz w:val="20"/>
          <w:szCs w:val="20"/>
        </w:rPr>
      </w:pPr>
      <w:r w:rsidRPr="00733781">
        <w:rPr>
          <w:rFonts w:ascii="Cambria" w:hAnsi="Cambria" w:cs="Arial"/>
          <w:bCs/>
          <w:sz w:val="20"/>
          <w:szCs w:val="20"/>
        </w:rPr>
        <w:t xml:space="preserve">Each shareholder entitled to attend the Meeting is a shareholder whose name is registered in the Company's Register of Shareholders at the close of trading hours of the Stock Exchange on </w:t>
      </w:r>
      <w:r w:rsidR="00733781" w:rsidRPr="00733781">
        <w:rPr>
          <w:rFonts w:ascii="Cambria" w:hAnsi="Cambria" w:cs="Arial"/>
          <w:b/>
          <w:bCs/>
          <w:sz w:val="20"/>
          <w:szCs w:val="20"/>
          <w:lang w:val="en-US"/>
        </w:rPr>
        <w:t xml:space="preserve">May 22, 2026. </w:t>
      </w:r>
    </w:p>
    <w:p w14:paraId="40A5320D" w14:textId="77777777" w:rsidR="00733781" w:rsidRPr="00733781" w:rsidRDefault="00733781" w:rsidP="00733781">
      <w:pPr>
        <w:suppressAutoHyphens/>
        <w:jc w:val="both"/>
        <w:rPr>
          <w:rFonts w:ascii="Cambria" w:hAnsi="Cambria" w:cs="Arial"/>
          <w:bCs/>
          <w:sz w:val="20"/>
          <w:szCs w:val="20"/>
        </w:rPr>
      </w:pPr>
    </w:p>
    <w:p w14:paraId="494C9D8E" w14:textId="14A2AEBB" w:rsidR="00B8700B" w:rsidRPr="00733781" w:rsidRDefault="00733781" w:rsidP="00733781">
      <w:pPr>
        <w:pStyle w:val="ListParagraph"/>
        <w:numPr>
          <w:ilvl w:val="0"/>
          <w:numId w:val="1"/>
        </w:numPr>
        <w:suppressAutoHyphens/>
        <w:jc w:val="both"/>
        <w:rPr>
          <w:rFonts w:ascii="Cambria" w:hAnsi="Cambria" w:cs="Arial"/>
          <w:sz w:val="20"/>
          <w:szCs w:val="20"/>
          <w:lang w:val="en-US"/>
        </w:rPr>
      </w:pPr>
      <w:r w:rsidRPr="00733781">
        <w:rPr>
          <w:rFonts w:ascii="Cambria" w:hAnsi="Cambria" w:cs="Arial"/>
          <w:bCs/>
          <w:sz w:val="20"/>
          <w:szCs w:val="20"/>
        </w:rPr>
        <w:t xml:space="preserve">Taking into account the provisions of the Financial Services Authority Regulation Number 14 of 2025 concerning the Electronic Electronic General Meeting of Shareholders, General Meeting of Bondholders, and General Meeting of Sukukholders ("POJK No 14/2025"), the Company urges eligible shareholders to attend the AGMS and EGMS electronically and/or grant power of attorney for their attendance and voting electronically. The participation of eligible shareholders in the AGMS and EGMS can be conducted through the following mechanism: </w:t>
      </w:r>
    </w:p>
    <w:p w14:paraId="1ED78901" w14:textId="77777777" w:rsidR="00733781" w:rsidRPr="00733781" w:rsidRDefault="00733781" w:rsidP="00733781">
      <w:pPr>
        <w:pStyle w:val="ListParagraph"/>
        <w:rPr>
          <w:rFonts w:ascii="Cambria" w:hAnsi="Cambria" w:cs="Arial"/>
          <w:sz w:val="20"/>
          <w:szCs w:val="20"/>
          <w:lang w:val="en-US"/>
        </w:rPr>
      </w:pPr>
    </w:p>
    <w:p w14:paraId="23F8E78B" w14:textId="01956F7A" w:rsidR="00733781" w:rsidRPr="00733781" w:rsidRDefault="00733781" w:rsidP="00733781">
      <w:pPr>
        <w:pStyle w:val="ListLevel2"/>
        <w:spacing w:before="0" w:beforeAutospacing="0" w:after="0" w:afterAutospacing="0" w:line="240" w:lineRule="auto"/>
        <w:rPr>
          <w:rFonts w:ascii="Cambria" w:hAnsi="Cambria"/>
          <w:lang w:val="en-US"/>
        </w:rPr>
      </w:pPr>
      <w:r w:rsidRPr="00733781">
        <w:rPr>
          <w:rFonts w:ascii="Cambria" w:hAnsi="Cambria"/>
        </w:rPr>
        <w:t>Attend the AGMS and EGMS electronically via the eA</w:t>
      </w:r>
      <w:r w:rsidR="00A12806" w:rsidRPr="00733781">
        <w:rPr>
          <w:rFonts w:ascii="Cambria" w:hAnsi="Cambria"/>
        </w:rPr>
        <w:t>SY</w:t>
      </w:r>
      <w:r w:rsidRPr="00733781">
        <w:rPr>
          <w:rFonts w:ascii="Cambria" w:hAnsi="Cambria"/>
        </w:rPr>
        <w:t>.KSEI application (https://akses.ksei.co.id/) or</w:t>
      </w:r>
    </w:p>
    <w:p w14:paraId="4CAD5371" w14:textId="0F691704" w:rsidR="00733781" w:rsidRPr="00733781" w:rsidRDefault="00733781" w:rsidP="00733781">
      <w:pPr>
        <w:pStyle w:val="ListLevel2"/>
        <w:spacing w:before="0" w:beforeAutospacing="0" w:after="0" w:afterAutospacing="0" w:line="240" w:lineRule="auto"/>
        <w:rPr>
          <w:rFonts w:ascii="Cambria" w:hAnsi="Cambria"/>
          <w:lang w:val="en-US"/>
        </w:rPr>
      </w:pPr>
      <w:r w:rsidRPr="00733781">
        <w:rPr>
          <w:rFonts w:ascii="Cambria" w:hAnsi="Cambria"/>
        </w:rPr>
        <w:t>Be represented by another party by granting</w:t>
      </w:r>
    </w:p>
    <w:p w14:paraId="652EFBF2" w14:textId="77777777" w:rsidR="00733781" w:rsidRPr="00733781" w:rsidRDefault="00733781" w:rsidP="00733781">
      <w:pPr>
        <w:pStyle w:val="ListLevel2"/>
        <w:numPr>
          <w:ilvl w:val="0"/>
          <w:numId w:val="0"/>
        </w:numPr>
        <w:spacing w:before="0" w:beforeAutospacing="0" w:after="0" w:afterAutospacing="0" w:line="240" w:lineRule="auto"/>
        <w:ind w:left="1211" w:hanging="360"/>
        <w:rPr>
          <w:rFonts w:ascii="Cambria" w:hAnsi="Cambria"/>
        </w:rPr>
      </w:pPr>
    </w:p>
    <w:p w14:paraId="2C9578E2" w14:textId="527C6772" w:rsidR="00733781" w:rsidRPr="00733781" w:rsidRDefault="00733781" w:rsidP="00733781">
      <w:pPr>
        <w:pStyle w:val="ListLevel2"/>
        <w:numPr>
          <w:ilvl w:val="0"/>
          <w:numId w:val="1"/>
        </w:numPr>
        <w:spacing w:before="0" w:beforeAutospacing="0" w:after="0" w:afterAutospacing="0" w:line="240" w:lineRule="auto"/>
        <w:rPr>
          <w:rFonts w:ascii="Cambria" w:hAnsi="Cambria"/>
          <w:lang w:val="en-US"/>
        </w:rPr>
      </w:pPr>
      <w:r w:rsidRPr="00733781">
        <w:rPr>
          <w:rFonts w:ascii="Cambria" w:hAnsi="Cambria"/>
        </w:rPr>
        <w:t>Shareholders who attend electronically or grant electronic power of attorney (e-proxy) through the eA</w:t>
      </w:r>
      <w:r w:rsidR="00A12806" w:rsidRPr="00733781">
        <w:rPr>
          <w:rFonts w:ascii="Cambria" w:hAnsi="Cambria"/>
        </w:rPr>
        <w:t>SY</w:t>
      </w:r>
      <w:r w:rsidRPr="00733781">
        <w:rPr>
          <w:rFonts w:ascii="Cambria" w:hAnsi="Cambria"/>
        </w:rPr>
        <w:t>.KSEI application are shareholders whose shares are deposited in KSEI collective custody. To use the eA</w:t>
      </w:r>
      <w:r w:rsidR="00A12806" w:rsidRPr="00733781">
        <w:rPr>
          <w:rFonts w:ascii="Cambria" w:hAnsi="Cambria"/>
        </w:rPr>
        <w:t>SY</w:t>
      </w:r>
      <w:r w:rsidRPr="00733781">
        <w:rPr>
          <w:rFonts w:ascii="Cambria" w:hAnsi="Cambria"/>
        </w:rPr>
        <w:t>.KSEI Application, shareholders can access the eA</w:t>
      </w:r>
      <w:r w:rsidR="00A12806" w:rsidRPr="00733781">
        <w:rPr>
          <w:rFonts w:ascii="Cambria" w:hAnsi="Cambria"/>
        </w:rPr>
        <w:t>SY</w:t>
      </w:r>
      <w:r w:rsidRPr="00733781">
        <w:rPr>
          <w:rFonts w:ascii="Cambria" w:hAnsi="Cambria"/>
        </w:rPr>
        <w:t>.KSEI menu on the Akses.KSEI facility (https://akses.ksei.co.id/) by observing the following provisions:</w:t>
      </w:r>
    </w:p>
    <w:p w14:paraId="45E6E547" w14:textId="5B0E6273" w:rsidR="00733781" w:rsidRPr="00733781" w:rsidRDefault="00733781" w:rsidP="00733781">
      <w:pPr>
        <w:pStyle w:val="ListLevel2"/>
        <w:numPr>
          <w:ilvl w:val="0"/>
          <w:numId w:val="8"/>
        </w:numPr>
        <w:spacing w:before="0" w:beforeAutospacing="0" w:after="0" w:afterAutospacing="0" w:line="240" w:lineRule="auto"/>
        <w:rPr>
          <w:rFonts w:ascii="Cambria" w:hAnsi="Cambria"/>
          <w:lang w:val="en-US"/>
        </w:rPr>
      </w:pPr>
      <w:r w:rsidRPr="00733781">
        <w:rPr>
          <w:rFonts w:ascii="Cambria" w:hAnsi="Cambria"/>
        </w:rPr>
        <w:t>Shareholders must declare their attendance or appoint their proxy and/or submit their voting choices on the eA</w:t>
      </w:r>
      <w:r w:rsidR="00A12806" w:rsidRPr="00733781">
        <w:rPr>
          <w:rFonts w:ascii="Cambria" w:hAnsi="Cambria"/>
        </w:rPr>
        <w:t>SY</w:t>
      </w:r>
      <w:r w:rsidRPr="00733781">
        <w:rPr>
          <w:rFonts w:ascii="Cambria" w:hAnsi="Cambria"/>
        </w:rPr>
        <w:t>.KSEI application no later than 12:00 PM WIB on 1 (one) business day before the date of the AGMS and EGMS;</w:t>
      </w:r>
    </w:p>
    <w:p w14:paraId="604D997F" w14:textId="2692F50C" w:rsidR="00733781" w:rsidRPr="00733781" w:rsidRDefault="00733781" w:rsidP="00733781">
      <w:pPr>
        <w:pStyle w:val="ListLevel2"/>
        <w:numPr>
          <w:ilvl w:val="0"/>
          <w:numId w:val="8"/>
        </w:numPr>
        <w:spacing w:before="0" w:beforeAutospacing="0" w:after="0" w:afterAutospacing="0" w:line="240" w:lineRule="auto"/>
        <w:rPr>
          <w:rFonts w:ascii="Cambria" w:hAnsi="Cambria"/>
          <w:lang w:val="en-US"/>
        </w:rPr>
      </w:pPr>
      <w:r w:rsidRPr="00733781">
        <w:rPr>
          <w:rFonts w:ascii="Cambria" w:hAnsi="Cambria"/>
        </w:rPr>
        <w:t>Shareholders who will attend electronically or grant their proxy electronically to the AGMS and EGMS through the eA</w:t>
      </w:r>
      <w:r w:rsidR="00A12806" w:rsidRPr="00733781">
        <w:rPr>
          <w:rFonts w:ascii="Cambria" w:hAnsi="Cambria"/>
        </w:rPr>
        <w:t>SY</w:t>
      </w:r>
      <w:r w:rsidRPr="00733781">
        <w:rPr>
          <w:rFonts w:ascii="Cambria" w:hAnsi="Cambria"/>
        </w:rPr>
        <w:t>.KSEI application must observe the following matters:</w:t>
      </w:r>
    </w:p>
    <w:p w14:paraId="32ECBED0" w14:textId="361F3BAB" w:rsidR="00733781" w:rsidRPr="00733781" w:rsidRDefault="00733781" w:rsidP="00733781">
      <w:pPr>
        <w:pStyle w:val="ListLevel2"/>
        <w:numPr>
          <w:ilvl w:val="0"/>
          <w:numId w:val="9"/>
        </w:numPr>
        <w:spacing w:before="0" w:beforeAutospacing="0" w:after="0" w:afterAutospacing="0" w:line="240" w:lineRule="auto"/>
        <w:rPr>
          <w:rFonts w:ascii="Cambria" w:hAnsi="Cambria"/>
          <w:lang w:val="en-US"/>
        </w:rPr>
      </w:pPr>
      <w:r w:rsidRPr="00733781">
        <w:rPr>
          <w:rFonts w:ascii="Cambria" w:hAnsi="Cambria"/>
        </w:rPr>
        <w:t>Registration process;</w:t>
      </w:r>
    </w:p>
    <w:p w14:paraId="3B411F04" w14:textId="29D05C35" w:rsidR="00733781" w:rsidRPr="00733781" w:rsidRDefault="00733781" w:rsidP="00733781">
      <w:pPr>
        <w:pStyle w:val="ListLevel2"/>
        <w:numPr>
          <w:ilvl w:val="0"/>
          <w:numId w:val="9"/>
        </w:numPr>
        <w:spacing w:before="0" w:beforeAutospacing="0" w:after="0" w:afterAutospacing="0" w:line="240" w:lineRule="auto"/>
        <w:rPr>
          <w:rFonts w:ascii="Cambria" w:hAnsi="Cambria"/>
          <w:lang w:val="en-US"/>
        </w:rPr>
      </w:pPr>
      <w:r w:rsidRPr="00733781">
        <w:rPr>
          <w:rFonts w:ascii="Cambria" w:hAnsi="Cambria"/>
        </w:rPr>
        <w:t>Process for submitting questions and/or opinions electronically;</w:t>
      </w:r>
    </w:p>
    <w:p w14:paraId="10893752" w14:textId="39F4FE3B" w:rsidR="00733781" w:rsidRPr="00733781" w:rsidRDefault="00733781" w:rsidP="00733781">
      <w:pPr>
        <w:pStyle w:val="ListLevel2"/>
        <w:numPr>
          <w:ilvl w:val="0"/>
          <w:numId w:val="9"/>
        </w:numPr>
        <w:spacing w:before="0" w:beforeAutospacing="0" w:after="0" w:afterAutospacing="0" w:line="240" w:lineRule="auto"/>
        <w:rPr>
          <w:rFonts w:ascii="Cambria" w:hAnsi="Cambria"/>
          <w:lang w:val="en-US"/>
        </w:rPr>
      </w:pPr>
      <w:r w:rsidRPr="00733781">
        <w:rPr>
          <w:rFonts w:ascii="Cambria" w:hAnsi="Cambria"/>
        </w:rPr>
        <w:lastRenderedPageBreak/>
        <w:t>Voting process</w:t>
      </w:r>
    </w:p>
    <w:p w14:paraId="356376EE" w14:textId="3BF40BB8" w:rsidR="00733781" w:rsidRPr="00733781" w:rsidRDefault="00733781" w:rsidP="00733781">
      <w:pPr>
        <w:pStyle w:val="ListLevel2"/>
        <w:numPr>
          <w:ilvl w:val="0"/>
          <w:numId w:val="9"/>
        </w:numPr>
        <w:spacing w:before="0" w:beforeAutospacing="0" w:after="0" w:afterAutospacing="0" w:line="240" w:lineRule="auto"/>
        <w:rPr>
          <w:rFonts w:ascii="Cambria" w:hAnsi="Cambria"/>
          <w:lang w:val="en-US"/>
        </w:rPr>
      </w:pPr>
      <w:r w:rsidRPr="00733781">
        <w:rPr>
          <w:rFonts w:ascii="Cambria" w:hAnsi="Cambria"/>
        </w:rPr>
        <w:t>GMS broadcast.</w:t>
      </w:r>
    </w:p>
    <w:p w14:paraId="113099EB" w14:textId="36B31E57" w:rsidR="00733781" w:rsidRPr="00733781" w:rsidRDefault="00733781" w:rsidP="00733781">
      <w:pPr>
        <w:pStyle w:val="ListLevel2"/>
        <w:numPr>
          <w:ilvl w:val="0"/>
          <w:numId w:val="0"/>
        </w:numPr>
        <w:spacing w:before="0" w:beforeAutospacing="0" w:after="0" w:afterAutospacing="0" w:line="240" w:lineRule="auto"/>
        <w:ind w:left="1440"/>
        <w:rPr>
          <w:rFonts w:ascii="Cambria" w:hAnsi="Cambria"/>
        </w:rPr>
      </w:pPr>
      <w:r w:rsidRPr="00733781">
        <w:rPr>
          <w:rFonts w:ascii="Cambria" w:hAnsi="Cambria"/>
        </w:rPr>
        <w:t>The guide for registration, usage, and further explanation regarding eA</w:t>
      </w:r>
      <w:r w:rsidR="00A12806" w:rsidRPr="00733781">
        <w:rPr>
          <w:rFonts w:ascii="Cambria" w:hAnsi="Cambria"/>
        </w:rPr>
        <w:t>SY</w:t>
      </w:r>
      <w:r w:rsidRPr="00733781">
        <w:rPr>
          <w:rFonts w:ascii="Cambria" w:hAnsi="Cambria"/>
        </w:rPr>
        <w:t>.KSEI can be downloaded via the eA</w:t>
      </w:r>
      <w:r w:rsidR="00A12806" w:rsidRPr="00733781">
        <w:rPr>
          <w:rFonts w:ascii="Cambria" w:hAnsi="Cambria"/>
        </w:rPr>
        <w:t>SY</w:t>
      </w:r>
      <w:r w:rsidRPr="00733781">
        <w:rPr>
          <w:rFonts w:ascii="Cambria" w:hAnsi="Cambria"/>
        </w:rPr>
        <w:t>.KSEI website (</w:t>
      </w:r>
      <w:hyperlink r:id="rId8" w:history="1">
        <w:r w:rsidRPr="00733781">
          <w:rPr>
            <w:rStyle w:val="Hyperlink"/>
            <w:rFonts w:ascii="Cambria" w:hAnsi="Cambria"/>
          </w:rPr>
          <w:t>https://akses.ksei.co.id/</w:t>
        </w:r>
      </w:hyperlink>
      <w:r w:rsidRPr="00733781">
        <w:rPr>
          <w:rFonts w:ascii="Cambria" w:hAnsi="Cambria"/>
        </w:rPr>
        <w:t xml:space="preserve">). </w:t>
      </w:r>
    </w:p>
    <w:p w14:paraId="34C41A16" w14:textId="77777777" w:rsidR="00733781" w:rsidRPr="00733781" w:rsidRDefault="00733781" w:rsidP="00733781">
      <w:pPr>
        <w:pStyle w:val="ListLevel2"/>
        <w:numPr>
          <w:ilvl w:val="0"/>
          <w:numId w:val="0"/>
        </w:numPr>
        <w:spacing w:before="0" w:beforeAutospacing="0" w:after="0" w:afterAutospacing="0" w:line="240" w:lineRule="auto"/>
        <w:ind w:left="1440"/>
        <w:rPr>
          <w:rFonts w:ascii="Cambria" w:hAnsi="Cambria"/>
        </w:rPr>
      </w:pPr>
    </w:p>
    <w:p w14:paraId="70F1D534" w14:textId="5C546F4D" w:rsidR="00733781" w:rsidRPr="00733781" w:rsidRDefault="00733781" w:rsidP="00733781">
      <w:pPr>
        <w:pStyle w:val="ListLevel2"/>
        <w:numPr>
          <w:ilvl w:val="0"/>
          <w:numId w:val="1"/>
        </w:numPr>
        <w:spacing w:before="0" w:beforeAutospacing="0" w:after="0" w:afterAutospacing="0" w:line="240" w:lineRule="auto"/>
        <w:rPr>
          <w:rFonts w:ascii="Cambria" w:hAnsi="Cambria"/>
          <w:lang w:val="en-US"/>
        </w:rPr>
      </w:pPr>
      <w:r w:rsidRPr="00733781">
        <w:rPr>
          <w:rFonts w:ascii="Cambria" w:hAnsi="Cambria"/>
        </w:rPr>
        <w:t>Shareholders attending electronically via the eA</w:t>
      </w:r>
      <w:r w:rsidR="00A12806" w:rsidRPr="00733781">
        <w:rPr>
          <w:rFonts w:ascii="Cambria" w:hAnsi="Cambria"/>
        </w:rPr>
        <w:t>SY</w:t>
      </w:r>
      <w:r w:rsidRPr="00733781">
        <w:rPr>
          <w:rFonts w:ascii="Cambria" w:hAnsi="Cambria"/>
        </w:rPr>
        <w:t>.KSEI facility must observe the following matters:</w:t>
      </w:r>
    </w:p>
    <w:p w14:paraId="0A581213" w14:textId="5A81C8CC" w:rsidR="00733781" w:rsidRPr="00733781" w:rsidRDefault="00733781" w:rsidP="00733781">
      <w:pPr>
        <w:pStyle w:val="ListLevel2"/>
        <w:numPr>
          <w:ilvl w:val="0"/>
          <w:numId w:val="10"/>
        </w:numPr>
        <w:spacing w:before="0" w:beforeAutospacing="0" w:after="0" w:afterAutospacing="0" w:line="240" w:lineRule="auto"/>
        <w:rPr>
          <w:rFonts w:ascii="Cambria" w:hAnsi="Cambria"/>
          <w:lang w:val="en-US"/>
        </w:rPr>
      </w:pPr>
      <w:r w:rsidRPr="00733781">
        <w:rPr>
          <w:rFonts w:ascii="Cambria" w:hAnsi="Cambria"/>
        </w:rPr>
        <w:t>The shareholders mentioned below must register their attendance electronically in the eA</w:t>
      </w:r>
      <w:r w:rsidR="00A12806" w:rsidRPr="00733781">
        <w:rPr>
          <w:rFonts w:ascii="Cambria" w:hAnsi="Cambria"/>
        </w:rPr>
        <w:t>SY</w:t>
      </w:r>
      <w:r w:rsidRPr="00733781">
        <w:rPr>
          <w:rFonts w:ascii="Cambria" w:hAnsi="Cambria"/>
        </w:rPr>
        <w:t>.KSEI facility on the date of the AGMS and EGMS from 11:00 AM WIB to 1:30 PM WIB, with the following details:</w:t>
      </w:r>
    </w:p>
    <w:p w14:paraId="3CBA4485" w14:textId="0375ADD1" w:rsidR="00733781" w:rsidRPr="00733781" w:rsidRDefault="00733781" w:rsidP="00733781">
      <w:pPr>
        <w:pStyle w:val="ListLevel2"/>
        <w:numPr>
          <w:ilvl w:val="0"/>
          <w:numId w:val="11"/>
        </w:numPr>
        <w:spacing w:before="0" w:beforeAutospacing="0" w:after="0" w:afterAutospacing="0" w:line="240" w:lineRule="auto"/>
        <w:rPr>
          <w:rFonts w:ascii="Cambria" w:hAnsi="Cambria"/>
          <w:lang w:val="en-US"/>
        </w:rPr>
      </w:pPr>
      <w:r w:rsidRPr="00733781">
        <w:rPr>
          <w:rFonts w:ascii="Cambria" w:hAnsi="Cambria"/>
        </w:rPr>
        <w:t>Local individual type shareholders who have not provided a declaration of attendance or proxy in the eA</w:t>
      </w:r>
      <w:r w:rsidR="00A12806" w:rsidRPr="00733781">
        <w:rPr>
          <w:rFonts w:ascii="Cambria" w:hAnsi="Cambria"/>
        </w:rPr>
        <w:t>SY</w:t>
      </w:r>
      <w:r w:rsidRPr="00733781">
        <w:rPr>
          <w:rFonts w:ascii="Cambria" w:hAnsi="Cambria"/>
        </w:rPr>
        <w:t>.KSEI facility by the specified deadline and wish to attend the AGMS and EGMS electronically.</w:t>
      </w:r>
    </w:p>
    <w:p w14:paraId="1A4C1467" w14:textId="699DECD4" w:rsidR="00733781" w:rsidRPr="00733781" w:rsidRDefault="00733781" w:rsidP="00733781">
      <w:pPr>
        <w:pStyle w:val="ListLevel2"/>
        <w:numPr>
          <w:ilvl w:val="0"/>
          <w:numId w:val="11"/>
        </w:numPr>
        <w:spacing w:before="0" w:beforeAutospacing="0" w:after="0" w:afterAutospacing="0" w:line="240" w:lineRule="auto"/>
        <w:rPr>
          <w:rFonts w:ascii="Cambria" w:hAnsi="Cambria"/>
          <w:lang w:val="en-US"/>
        </w:rPr>
      </w:pPr>
      <w:r w:rsidRPr="00733781">
        <w:rPr>
          <w:rFonts w:ascii="Cambria" w:hAnsi="Cambria"/>
        </w:rPr>
        <w:t>Local individual type shareholders who have provided a declaration of attendance but have not determined a voting choice for at least 1 (one) meeting agenda item in the eA</w:t>
      </w:r>
      <w:r w:rsidR="00A12806" w:rsidRPr="00733781">
        <w:rPr>
          <w:rFonts w:ascii="Cambria" w:hAnsi="Cambria"/>
        </w:rPr>
        <w:t>SY</w:t>
      </w:r>
      <w:r w:rsidRPr="00733781">
        <w:rPr>
          <w:rFonts w:ascii="Cambria" w:hAnsi="Cambria"/>
        </w:rPr>
        <w:t>.KSEI facility by the specified deadline and wish to attend the AGMS and EGMS electronically.</w:t>
      </w:r>
    </w:p>
    <w:p w14:paraId="0CF812E4" w14:textId="328A0FCD" w:rsidR="00733781" w:rsidRPr="00733781" w:rsidRDefault="00733781" w:rsidP="00733781">
      <w:pPr>
        <w:pStyle w:val="ListLevel2"/>
        <w:numPr>
          <w:ilvl w:val="0"/>
          <w:numId w:val="11"/>
        </w:numPr>
        <w:spacing w:before="0" w:beforeAutospacing="0" w:after="0" w:afterAutospacing="0" w:line="240" w:lineRule="auto"/>
        <w:rPr>
          <w:rFonts w:ascii="Cambria" w:hAnsi="Cambria"/>
          <w:lang w:val="en-US"/>
        </w:rPr>
      </w:pPr>
      <w:r w:rsidRPr="00733781">
        <w:rPr>
          <w:rFonts w:ascii="Cambria" w:hAnsi="Cambria"/>
        </w:rPr>
        <w:t>Proxy holders of shareholders who have granted power of attorney to an independent representative or individual representative, but have not provided a voting choice for at least 1 (one) meeting agenda item in the eA</w:t>
      </w:r>
      <w:r w:rsidR="00A12806" w:rsidRPr="00733781">
        <w:rPr>
          <w:rFonts w:ascii="Cambria" w:hAnsi="Cambria"/>
        </w:rPr>
        <w:t>SY</w:t>
      </w:r>
      <w:r w:rsidRPr="00733781">
        <w:rPr>
          <w:rFonts w:ascii="Cambria" w:hAnsi="Cambria"/>
        </w:rPr>
        <w:t>.KSEI facility by the specified deadline.</w:t>
      </w:r>
    </w:p>
    <w:p w14:paraId="7ADC50FA" w14:textId="2E072651" w:rsidR="00733781" w:rsidRPr="00733781" w:rsidRDefault="00733781" w:rsidP="00733781">
      <w:pPr>
        <w:pStyle w:val="ListLevel2"/>
        <w:numPr>
          <w:ilvl w:val="0"/>
          <w:numId w:val="11"/>
        </w:numPr>
        <w:spacing w:before="0" w:beforeAutospacing="0" w:after="0" w:afterAutospacing="0" w:line="240" w:lineRule="auto"/>
        <w:rPr>
          <w:rFonts w:ascii="Cambria" w:hAnsi="Cambria"/>
          <w:lang w:val="en-US"/>
        </w:rPr>
      </w:pPr>
      <w:r w:rsidRPr="00733781">
        <w:rPr>
          <w:rFonts w:ascii="Cambria" w:hAnsi="Cambria"/>
        </w:rPr>
        <w:t>Proxy holders of shareholders who have granted power of attorney to a participant/intermediary (securities company) and have determined their voting choices in the eA</w:t>
      </w:r>
      <w:r w:rsidR="00A12806" w:rsidRPr="00733781">
        <w:rPr>
          <w:rFonts w:ascii="Cambria" w:hAnsi="Cambria"/>
        </w:rPr>
        <w:t>SY</w:t>
      </w:r>
      <w:r w:rsidRPr="00733781">
        <w:rPr>
          <w:rFonts w:ascii="Cambria" w:hAnsi="Cambria"/>
        </w:rPr>
        <w:t>.KSEI facility by the specified deadline.</w:t>
      </w:r>
    </w:p>
    <w:p w14:paraId="3C8E8CB3" w14:textId="7B269F8F" w:rsidR="00733781" w:rsidRPr="00733781" w:rsidRDefault="00733781" w:rsidP="00733781">
      <w:pPr>
        <w:pStyle w:val="ListLevel2"/>
        <w:numPr>
          <w:ilvl w:val="0"/>
          <w:numId w:val="10"/>
        </w:numPr>
        <w:spacing w:before="0" w:beforeAutospacing="0" w:after="0" w:afterAutospacing="0" w:line="240" w:lineRule="auto"/>
        <w:rPr>
          <w:rFonts w:ascii="Cambria" w:hAnsi="Cambria"/>
          <w:lang w:val="en-US"/>
        </w:rPr>
      </w:pPr>
      <w:r w:rsidRPr="00733781">
        <w:rPr>
          <w:rFonts w:ascii="Cambria" w:hAnsi="Cambria"/>
        </w:rPr>
        <w:t>Shareholders who have provided a declaration of attendance or proxy to an independent representative or individual representative and have determined their voting choices for the AGMS and EGMS agenda items in eA</w:t>
      </w:r>
      <w:r w:rsidR="00A12806" w:rsidRPr="00733781">
        <w:rPr>
          <w:rFonts w:ascii="Cambria" w:hAnsi="Cambria"/>
        </w:rPr>
        <w:t>SY</w:t>
      </w:r>
      <w:r w:rsidRPr="00733781">
        <w:rPr>
          <w:rFonts w:ascii="Cambria" w:hAnsi="Cambria"/>
        </w:rPr>
        <w:t>.KSEI by the specified deadline do not need to perform electronic attendance registration in the eA</w:t>
      </w:r>
      <w:r w:rsidR="00A12806" w:rsidRPr="00733781">
        <w:rPr>
          <w:rFonts w:ascii="Cambria" w:hAnsi="Cambria"/>
        </w:rPr>
        <w:t>SY</w:t>
      </w:r>
      <w:r w:rsidRPr="00733781">
        <w:rPr>
          <w:rFonts w:ascii="Cambria" w:hAnsi="Cambria"/>
        </w:rPr>
        <w:t xml:space="preserve">.KSEI facility. </w:t>
      </w:r>
    </w:p>
    <w:p w14:paraId="09B03188" w14:textId="5FA9EFBC" w:rsidR="00733781" w:rsidRPr="00733781" w:rsidRDefault="00733781" w:rsidP="00733781">
      <w:pPr>
        <w:pStyle w:val="ListLevel2"/>
        <w:numPr>
          <w:ilvl w:val="0"/>
          <w:numId w:val="10"/>
        </w:numPr>
        <w:spacing w:before="0" w:beforeAutospacing="0" w:after="0" w:afterAutospacing="0" w:line="240" w:lineRule="auto"/>
        <w:rPr>
          <w:rFonts w:ascii="Cambria" w:hAnsi="Cambria"/>
          <w:lang w:val="en-US"/>
        </w:rPr>
      </w:pPr>
      <w:r w:rsidRPr="00733781">
        <w:rPr>
          <w:rFonts w:ascii="Cambria" w:hAnsi="Cambria"/>
        </w:rPr>
        <w:t xml:space="preserve">Delays or failures in the electronic registration process for any reason will result in the shareholder or their proxy holder being unable to attend the AGMS and EGMS electronically, and their share ownership will not be counted toward the attendance quorum. </w:t>
      </w:r>
    </w:p>
    <w:p w14:paraId="73E21831" w14:textId="77777777" w:rsidR="00733781" w:rsidRPr="00733781" w:rsidRDefault="00733781" w:rsidP="00733781">
      <w:pPr>
        <w:pStyle w:val="ListLevel2"/>
        <w:numPr>
          <w:ilvl w:val="0"/>
          <w:numId w:val="0"/>
        </w:numPr>
        <w:spacing w:before="0" w:beforeAutospacing="0" w:after="0" w:afterAutospacing="0" w:line="240" w:lineRule="auto"/>
        <w:ind w:left="720"/>
        <w:rPr>
          <w:rFonts w:ascii="Cambria" w:hAnsi="Cambria"/>
        </w:rPr>
      </w:pPr>
    </w:p>
    <w:p w14:paraId="46EBC60A" w14:textId="30555B2F" w:rsidR="00733781" w:rsidRPr="00733781" w:rsidRDefault="00733781" w:rsidP="00733781">
      <w:pPr>
        <w:pStyle w:val="ListLevel2"/>
        <w:numPr>
          <w:ilvl w:val="0"/>
          <w:numId w:val="1"/>
        </w:numPr>
        <w:spacing w:before="0" w:beforeAutospacing="0" w:after="0" w:afterAutospacing="0" w:line="240" w:lineRule="auto"/>
        <w:rPr>
          <w:rFonts w:ascii="Cambria" w:hAnsi="Cambria"/>
          <w:lang w:val="en-US"/>
        </w:rPr>
      </w:pPr>
      <w:r w:rsidRPr="00733781">
        <w:rPr>
          <w:rFonts w:ascii="Cambria" w:hAnsi="Cambria"/>
        </w:rPr>
        <w:t>Shareholders holding shares in scrip form (physical certificates) may attend the AGMS and EGMS physically, referring to the provisions of POJK No 14/2025.</w:t>
      </w:r>
    </w:p>
    <w:p w14:paraId="3C5E404B" w14:textId="77777777" w:rsidR="00733781" w:rsidRPr="00733781" w:rsidRDefault="00733781" w:rsidP="00733781">
      <w:pPr>
        <w:pStyle w:val="ListLevel2"/>
        <w:numPr>
          <w:ilvl w:val="0"/>
          <w:numId w:val="0"/>
        </w:numPr>
        <w:spacing w:before="0" w:beforeAutospacing="0" w:after="0" w:afterAutospacing="0" w:line="240" w:lineRule="auto"/>
        <w:ind w:left="360"/>
        <w:rPr>
          <w:rFonts w:ascii="Cambria" w:hAnsi="Cambria"/>
        </w:rPr>
      </w:pPr>
    </w:p>
    <w:p w14:paraId="3EF115E4" w14:textId="0FAECD70" w:rsidR="00733781" w:rsidRPr="00733781" w:rsidRDefault="00733781" w:rsidP="00733781">
      <w:pPr>
        <w:pStyle w:val="ListLevel2"/>
        <w:numPr>
          <w:ilvl w:val="0"/>
          <w:numId w:val="1"/>
        </w:numPr>
        <w:spacing w:before="0" w:beforeAutospacing="0" w:after="0" w:afterAutospacing="0" w:line="240" w:lineRule="auto"/>
        <w:rPr>
          <w:rFonts w:ascii="Cambria" w:hAnsi="Cambria"/>
          <w:lang w:val="en-US"/>
        </w:rPr>
      </w:pPr>
      <w:r w:rsidRPr="00733781">
        <w:rPr>
          <w:rFonts w:ascii="Cambria" w:hAnsi="Cambria"/>
        </w:rPr>
        <w:t xml:space="preserve">The Chairman of the AGMS and EGMS, the Board of Directors and Board of Commissioners, as well as capital market supporting professionals who assist in the implementation of the AGMS and EGMS, shall be physically present. </w:t>
      </w:r>
    </w:p>
    <w:p w14:paraId="11723581" w14:textId="77777777" w:rsidR="00733781" w:rsidRPr="00733781" w:rsidRDefault="00733781" w:rsidP="00733781">
      <w:pPr>
        <w:pStyle w:val="ListParagraph"/>
        <w:rPr>
          <w:rFonts w:ascii="Cambria" w:hAnsi="Cambria"/>
          <w:sz w:val="20"/>
          <w:szCs w:val="20"/>
          <w:lang w:val="en-US"/>
        </w:rPr>
      </w:pPr>
    </w:p>
    <w:p w14:paraId="2935D67D" w14:textId="25CA59FA" w:rsidR="00733781" w:rsidRPr="00733781" w:rsidRDefault="00733781" w:rsidP="00733781">
      <w:pPr>
        <w:pStyle w:val="ListLevel2"/>
        <w:numPr>
          <w:ilvl w:val="0"/>
          <w:numId w:val="1"/>
        </w:numPr>
        <w:spacing w:before="0" w:beforeAutospacing="0" w:after="0" w:afterAutospacing="0" w:line="240" w:lineRule="auto"/>
        <w:rPr>
          <w:rFonts w:ascii="Cambria" w:hAnsi="Cambria"/>
          <w:lang w:val="en-US"/>
        </w:rPr>
      </w:pPr>
      <w:r w:rsidRPr="00733781">
        <w:rPr>
          <w:rFonts w:ascii="Cambria" w:hAnsi="Cambria"/>
        </w:rPr>
        <w:t xml:space="preserve">Materials for the AGMS and EGMS are available on the Company's website from the date of the meeting notice. </w:t>
      </w:r>
    </w:p>
    <w:p w14:paraId="734A4565" w14:textId="77777777" w:rsidR="00733781" w:rsidRPr="00733781" w:rsidRDefault="00733781" w:rsidP="00733781">
      <w:pPr>
        <w:pStyle w:val="ListParagraph"/>
        <w:rPr>
          <w:rFonts w:ascii="Cambria" w:hAnsi="Cambria"/>
          <w:sz w:val="20"/>
          <w:szCs w:val="20"/>
          <w:lang w:val="en-US"/>
        </w:rPr>
      </w:pPr>
    </w:p>
    <w:p w14:paraId="66FF82D0" w14:textId="22B6E433" w:rsidR="00733781" w:rsidRPr="00733781" w:rsidRDefault="00733781" w:rsidP="00733781">
      <w:pPr>
        <w:pStyle w:val="ListLevel2"/>
        <w:numPr>
          <w:ilvl w:val="0"/>
          <w:numId w:val="1"/>
        </w:numPr>
        <w:spacing w:before="0" w:beforeAutospacing="0" w:after="0" w:afterAutospacing="0" w:line="240" w:lineRule="auto"/>
        <w:rPr>
          <w:rFonts w:ascii="Cambria" w:hAnsi="Cambria"/>
          <w:lang w:val="en-US"/>
        </w:rPr>
      </w:pPr>
      <w:r w:rsidRPr="00733781">
        <w:rPr>
          <w:rFonts w:ascii="Cambria" w:hAnsi="Cambria"/>
        </w:rPr>
        <w:t>The Company does not provide food, beverages, or souvenirs.</w:t>
      </w:r>
    </w:p>
    <w:p w14:paraId="44EFACDB" w14:textId="77777777" w:rsidR="00733781" w:rsidRPr="00733781" w:rsidRDefault="00733781" w:rsidP="00733781">
      <w:pPr>
        <w:pStyle w:val="ListParagraph"/>
        <w:rPr>
          <w:rFonts w:ascii="Cambria" w:hAnsi="Cambria"/>
          <w:sz w:val="20"/>
          <w:szCs w:val="20"/>
          <w:lang w:val="en-US"/>
        </w:rPr>
      </w:pPr>
    </w:p>
    <w:p w14:paraId="7D190C09" w14:textId="06BB9D44" w:rsidR="00733781" w:rsidRPr="00733781" w:rsidRDefault="00733781" w:rsidP="00733781">
      <w:pPr>
        <w:pStyle w:val="ListLevel2"/>
        <w:numPr>
          <w:ilvl w:val="0"/>
          <w:numId w:val="1"/>
        </w:numPr>
        <w:spacing w:before="0" w:beforeAutospacing="0" w:after="0" w:afterAutospacing="0" w:line="240" w:lineRule="auto"/>
        <w:rPr>
          <w:rFonts w:ascii="Cambria" w:hAnsi="Cambria"/>
          <w:lang w:val="en-US"/>
        </w:rPr>
      </w:pPr>
      <w:r w:rsidRPr="00733781">
        <w:rPr>
          <w:rFonts w:ascii="Cambria" w:hAnsi="Cambria"/>
        </w:rPr>
        <w:t xml:space="preserve">The Company may re-announce the notice if there are changes and/or additions to information regarding the procedures for conducting the Meeting, with reference to the applicable laws and regulations. </w:t>
      </w:r>
    </w:p>
    <w:p w14:paraId="62E26F58" w14:textId="77777777" w:rsidR="00733781" w:rsidRPr="00733781" w:rsidRDefault="00733781" w:rsidP="00733781">
      <w:pPr>
        <w:suppressAutoHyphens/>
        <w:jc w:val="both"/>
        <w:rPr>
          <w:rFonts w:ascii="Cambria" w:hAnsi="Cambria" w:cs="Arial"/>
          <w:sz w:val="20"/>
          <w:szCs w:val="20"/>
          <w:lang w:val="en-US"/>
        </w:rPr>
      </w:pPr>
    </w:p>
    <w:p w14:paraId="72CCF632" w14:textId="77777777" w:rsidR="00733781" w:rsidRPr="00733781" w:rsidRDefault="00733781" w:rsidP="00733781">
      <w:pPr>
        <w:suppressAutoHyphens/>
        <w:jc w:val="both"/>
        <w:rPr>
          <w:rFonts w:ascii="Cambria" w:hAnsi="Cambria" w:cs="Arial"/>
          <w:sz w:val="20"/>
          <w:szCs w:val="20"/>
          <w:lang w:val="en-US"/>
        </w:rPr>
      </w:pPr>
    </w:p>
    <w:p w14:paraId="1B452F39" w14:textId="36B933AB" w:rsidR="00B8700B" w:rsidRPr="00733781" w:rsidRDefault="00B8700B" w:rsidP="00B8700B">
      <w:pPr>
        <w:pStyle w:val="ListLevel2"/>
        <w:numPr>
          <w:ilvl w:val="0"/>
          <w:numId w:val="0"/>
        </w:numPr>
        <w:spacing w:before="0" w:beforeAutospacing="0" w:after="0" w:afterAutospacing="0" w:line="240" w:lineRule="auto"/>
        <w:ind w:left="720"/>
        <w:jc w:val="center"/>
        <w:rPr>
          <w:rFonts w:ascii="Cambria" w:hAnsi="Cambria"/>
          <w:b/>
          <w:bCs/>
        </w:rPr>
      </w:pPr>
      <w:r w:rsidRPr="00733781">
        <w:rPr>
          <w:rFonts w:ascii="Cambria" w:hAnsi="Cambria"/>
          <w:b/>
          <w:bCs/>
        </w:rPr>
        <w:t>Malang,</w:t>
      </w:r>
      <w:r w:rsidR="00733781" w:rsidRPr="00733781">
        <w:rPr>
          <w:rFonts w:ascii="Cambria" w:hAnsi="Cambria"/>
          <w:b/>
          <w:bCs/>
        </w:rPr>
        <w:t xml:space="preserve"> May 25, 2026</w:t>
      </w:r>
    </w:p>
    <w:p w14:paraId="483160FE" w14:textId="13700166" w:rsidR="00B8700B" w:rsidRPr="00733781" w:rsidRDefault="00733781" w:rsidP="00B8700B">
      <w:pPr>
        <w:pStyle w:val="ListLevel2"/>
        <w:numPr>
          <w:ilvl w:val="0"/>
          <w:numId w:val="0"/>
        </w:numPr>
        <w:spacing w:before="0" w:beforeAutospacing="0" w:after="0" w:afterAutospacing="0" w:line="240" w:lineRule="auto"/>
        <w:ind w:left="720"/>
        <w:jc w:val="center"/>
        <w:rPr>
          <w:rFonts w:ascii="Cambria" w:hAnsi="Cambria"/>
          <w:b/>
          <w:bCs/>
        </w:rPr>
      </w:pPr>
      <w:r w:rsidRPr="00733781">
        <w:rPr>
          <w:rFonts w:ascii="Cambria" w:hAnsi="Cambria"/>
          <w:b/>
          <w:bCs/>
        </w:rPr>
        <w:t xml:space="preserve">PT Apollo Global Interactive Tbk d/h </w:t>
      </w:r>
      <w:r w:rsidR="00B8700B" w:rsidRPr="00733781">
        <w:rPr>
          <w:rFonts w:ascii="Cambria" w:hAnsi="Cambria"/>
          <w:b/>
          <w:bCs/>
        </w:rPr>
        <w:t>PT Bintang Oto Global Tbk.</w:t>
      </w:r>
    </w:p>
    <w:p w14:paraId="2962CE76" w14:textId="77777777" w:rsidR="00B8700B" w:rsidRPr="00733781" w:rsidRDefault="00B8700B" w:rsidP="00B8700B">
      <w:pPr>
        <w:pStyle w:val="ListLevel2"/>
        <w:numPr>
          <w:ilvl w:val="0"/>
          <w:numId w:val="0"/>
        </w:numPr>
        <w:spacing w:before="0" w:beforeAutospacing="0" w:after="0" w:afterAutospacing="0" w:line="240" w:lineRule="auto"/>
        <w:ind w:left="720"/>
        <w:jc w:val="center"/>
        <w:rPr>
          <w:rFonts w:ascii="Cambria" w:hAnsi="Cambria"/>
          <w:b/>
          <w:bCs/>
        </w:rPr>
      </w:pPr>
      <w:r w:rsidRPr="00733781">
        <w:rPr>
          <w:rFonts w:ascii="Cambria" w:hAnsi="Cambria"/>
          <w:b/>
          <w:bCs/>
        </w:rPr>
        <w:t>Directors</w:t>
      </w:r>
    </w:p>
    <w:p w14:paraId="4E9744B5" w14:textId="77777777" w:rsidR="00B8700B" w:rsidRPr="00733781" w:rsidRDefault="00B8700B" w:rsidP="00B8700B">
      <w:pPr>
        <w:pStyle w:val="ListParagraph"/>
        <w:ind w:left="360"/>
        <w:jc w:val="both"/>
        <w:rPr>
          <w:rFonts w:ascii="Cambria" w:hAnsi="Cambria" w:cs="Arial"/>
          <w:sz w:val="20"/>
          <w:szCs w:val="20"/>
          <w:lang w:val="en-US"/>
        </w:rPr>
      </w:pPr>
    </w:p>
    <w:p w14:paraId="1C33A44E" w14:textId="77777777" w:rsidR="00B8700B" w:rsidRPr="00733781" w:rsidRDefault="00B8700B" w:rsidP="00B8700B">
      <w:pPr>
        <w:pStyle w:val="ListParagraph"/>
        <w:ind w:left="360"/>
        <w:jc w:val="both"/>
        <w:rPr>
          <w:rFonts w:ascii="Cambria" w:hAnsi="Cambria" w:cs="Arial"/>
          <w:sz w:val="20"/>
          <w:szCs w:val="20"/>
          <w:lang w:val="en-US"/>
        </w:rPr>
      </w:pPr>
    </w:p>
    <w:p w14:paraId="043301EE" w14:textId="77777777" w:rsidR="00B8700B" w:rsidRPr="00733781" w:rsidRDefault="00B8700B" w:rsidP="00B8700B">
      <w:pPr>
        <w:pStyle w:val="ListLevel2"/>
        <w:numPr>
          <w:ilvl w:val="0"/>
          <w:numId w:val="0"/>
        </w:numPr>
        <w:ind w:left="1211"/>
        <w:rPr>
          <w:rFonts w:ascii="Cambria" w:hAnsi="Cambria"/>
          <w:lang w:val="en-US"/>
        </w:rPr>
      </w:pPr>
    </w:p>
    <w:p w14:paraId="26A7ABD3" w14:textId="7101DDDA" w:rsidR="009F0A03" w:rsidRPr="00733781" w:rsidRDefault="009F0A03">
      <w:pPr>
        <w:rPr>
          <w:rFonts w:ascii="Cambria" w:hAnsi="Cambria"/>
          <w:sz w:val="20"/>
          <w:szCs w:val="20"/>
        </w:rPr>
      </w:pPr>
    </w:p>
    <w:sectPr w:rsidR="009F0A03" w:rsidRPr="00733781" w:rsidSect="00B8700B">
      <w:headerReference w:type="default" r:id="rId9"/>
      <w:footerReference w:type="default" r:id="rId10"/>
      <w:pgSz w:w="11906" w:h="16838"/>
      <w:pgMar w:top="1671" w:right="1440" w:bottom="1440" w:left="1440"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0757" w14:textId="77777777" w:rsidR="007020B2" w:rsidRDefault="007020B2">
      <w:r>
        <w:separator/>
      </w:r>
    </w:p>
  </w:endnote>
  <w:endnote w:type="continuationSeparator" w:id="0">
    <w:p w14:paraId="5A0B28C8" w14:textId="77777777" w:rsidR="007020B2" w:rsidRDefault="0070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573E" w14:textId="77777777" w:rsidR="00B8700B" w:rsidRDefault="00B8700B" w:rsidP="00170750">
    <w:pPr>
      <w:pStyle w:val="Footer"/>
      <w:ind w:hanging="770"/>
    </w:pPr>
    <w:r>
      <w:rPr>
        <w:noProof/>
      </w:rPr>
      <w:drawing>
        <wp:inline distT="0" distB="0" distL="0" distR="0" wp14:anchorId="0DC6AC2A" wp14:editId="19C77976">
          <wp:extent cx="3040380" cy="994458"/>
          <wp:effectExtent l="0" t="0" r="7620" b="0"/>
          <wp:docPr id="57076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37160" name="Picture 294537160"/>
                  <pic:cNvPicPr/>
                </pic:nvPicPr>
                <pic:blipFill>
                  <a:blip r:embed="rId1">
                    <a:extLst>
                      <a:ext uri="{28A0092B-C50C-407E-A947-70E740481C1C}">
                        <a14:useLocalDpi xmlns:a14="http://schemas.microsoft.com/office/drawing/2010/main" val="0"/>
                      </a:ext>
                    </a:extLst>
                  </a:blip>
                  <a:stretch>
                    <a:fillRect/>
                  </a:stretch>
                </pic:blipFill>
                <pic:spPr>
                  <a:xfrm>
                    <a:off x="0" y="0"/>
                    <a:ext cx="3044774" cy="9958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72A0" w14:textId="77777777" w:rsidR="007020B2" w:rsidRDefault="007020B2">
      <w:r>
        <w:separator/>
      </w:r>
    </w:p>
  </w:footnote>
  <w:footnote w:type="continuationSeparator" w:id="0">
    <w:p w14:paraId="26BCFE59" w14:textId="77777777" w:rsidR="007020B2" w:rsidRDefault="0070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E252" w14:textId="77777777" w:rsidR="00B8700B" w:rsidRPr="00C857F4" w:rsidRDefault="00B8700B" w:rsidP="00170750">
    <w:pPr>
      <w:pStyle w:val="Header"/>
      <w:jc w:val="center"/>
    </w:pPr>
    <w:r>
      <w:rPr>
        <w:noProof/>
      </w:rPr>
      <w:drawing>
        <wp:anchor distT="0" distB="0" distL="114300" distR="114300" simplePos="0" relativeHeight="251659264" behindDoc="1" locked="0" layoutInCell="1" allowOverlap="1" wp14:anchorId="652D5039" wp14:editId="166B95BE">
          <wp:simplePos x="0" y="0"/>
          <wp:positionH relativeFrom="column">
            <wp:posOffset>-111125</wp:posOffset>
          </wp:positionH>
          <wp:positionV relativeFrom="paragraph">
            <wp:posOffset>-332105</wp:posOffset>
          </wp:positionV>
          <wp:extent cx="1177290" cy="718185"/>
          <wp:effectExtent l="0" t="0" r="3810" b="5715"/>
          <wp:wrapTight wrapText="bothSides">
            <wp:wrapPolygon edited="0">
              <wp:start x="0" y="0"/>
              <wp:lineTo x="0" y="21199"/>
              <wp:lineTo x="21320" y="21199"/>
              <wp:lineTo x="21320" y="0"/>
              <wp:lineTo x="0" y="0"/>
            </wp:wrapPolygon>
          </wp:wrapTight>
          <wp:docPr id="70305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31983" name="Picture 2091531983"/>
                  <pic:cNvPicPr/>
                </pic:nvPicPr>
                <pic:blipFill>
                  <a:blip r:embed="rId1">
                    <a:extLst>
                      <a:ext uri="{28A0092B-C50C-407E-A947-70E740481C1C}">
                        <a14:useLocalDpi xmlns:a14="http://schemas.microsoft.com/office/drawing/2010/main" val="0"/>
                      </a:ext>
                    </a:extLst>
                  </a:blip>
                  <a:stretch>
                    <a:fillRect/>
                  </a:stretch>
                </pic:blipFill>
                <pic:spPr>
                  <a:xfrm>
                    <a:off x="0" y="0"/>
                    <a:ext cx="1177290" cy="718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27E"/>
    <w:multiLevelType w:val="hybridMultilevel"/>
    <w:tmpl w:val="CE28713C"/>
    <w:lvl w:ilvl="0" w:tplc="AC2CAFF8">
      <w:start w:val="1"/>
      <w:numFmt w:val="decimal"/>
      <w:lvlText w:val="%1."/>
      <w:lvlJc w:val="left"/>
      <w:pPr>
        <w:tabs>
          <w:tab w:val="num" w:pos="1759"/>
        </w:tabs>
        <w:ind w:left="2479" w:hanging="360"/>
      </w:pPr>
      <w:rPr>
        <w:rFonts w:ascii="Calibri" w:hAnsi="Calibri" w:cs="Calibri"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3D5D53"/>
    <w:multiLevelType w:val="multilevel"/>
    <w:tmpl w:val="1CCE5794"/>
    <w:lvl w:ilvl="0">
      <w:start w:val="1"/>
      <w:numFmt w:val="decimal"/>
      <w:lvlText w:val="%1."/>
      <w:lvlJc w:val="left"/>
      <w:pPr>
        <w:tabs>
          <w:tab w:val="num" w:pos="360"/>
        </w:tabs>
        <w:ind w:left="360" w:hanging="360"/>
      </w:pPr>
      <w:rPr>
        <w:rFonts w:ascii="Cambria" w:hAnsi="Cambria" w:cs="Arial" w:hint="default"/>
        <w:b w:val="0"/>
        <w:color w:val="auto"/>
        <w:sz w:val="20"/>
        <w:szCs w:val="20"/>
      </w:rPr>
    </w:lvl>
    <w:lvl w:ilvl="1">
      <w:start w:val="1"/>
      <w:numFmt w:val="lowerLetter"/>
      <w:pStyle w:val="ListLevel2"/>
      <w:lvlText w:val="%2."/>
      <w:lvlJc w:val="left"/>
      <w:pPr>
        <w:ind w:left="1211" w:hanging="360"/>
      </w:pPr>
      <w:rPr>
        <w:rFonts w:ascii="Arial" w:hAnsi="Arial" w:cs="Arial" w:hint="default"/>
        <w:color w:val="auto"/>
        <w:sz w:val="20"/>
        <w:szCs w:val="20"/>
      </w:rPr>
    </w:lvl>
    <w:lvl w:ilvl="2">
      <w:start w:val="1"/>
      <w:numFmt w:val="upperRoman"/>
      <w:pStyle w:val="ListLevel3"/>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152318AF"/>
    <w:multiLevelType w:val="multilevel"/>
    <w:tmpl w:val="5CF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30823"/>
    <w:multiLevelType w:val="hybridMultilevel"/>
    <w:tmpl w:val="9482D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6B0740"/>
    <w:multiLevelType w:val="hybridMultilevel"/>
    <w:tmpl w:val="86A62D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0D17C9"/>
    <w:multiLevelType w:val="hybridMultilevel"/>
    <w:tmpl w:val="4DEE116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D04EC4"/>
    <w:multiLevelType w:val="hybridMultilevel"/>
    <w:tmpl w:val="F5069E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397262"/>
    <w:multiLevelType w:val="multilevel"/>
    <w:tmpl w:val="DC5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95C9D"/>
    <w:multiLevelType w:val="hybridMultilevel"/>
    <w:tmpl w:val="7B6E8A8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2"/>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0B"/>
    <w:rsid w:val="000E17D3"/>
    <w:rsid w:val="001F275C"/>
    <w:rsid w:val="00415D85"/>
    <w:rsid w:val="00545149"/>
    <w:rsid w:val="006A577F"/>
    <w:rsid w:val="007020B2"/>
    <w:rsid w:val="00733781"/>
    <w:rsid w:val="00815256"/>
    <w:rsid w:val="009F0A03"/>
    <w:rsid w:val="00A051B0"/>
    <w:rsid w:val="00A12806"/>
    <w:rsid w:val="00B8700B"/>
    <w:rsid w:val="00EE2E29"/>
    <w:rsid w:val="00EF68B0"/>
    <w:rsid w:val="00E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DE8D"/>
  <w15:chartTrackingRefBased/>
  <w15:docId w15:val="{91DEEA81-9E96-414F-976F-93011585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0B"/>
    <w:pPr>
      <w:spacing w:after="0" w:line="240" w:lineRule="auto"/>
    </w:pPr>
    <w:rPr>
      <w:rFonts w:ascii="Times New Roman" w:hAnsi="Times New Roman" w:cs="Times New Roman"/>
      <w:kern w:val="0"/>
      <w:lang w:val="id-ID" w:eastAsia="id-ID"/>
      <w14:ligatures w14:val="none"/>
    </w:rPr>
  </w:style>
  <w:style w:type="paragraph" w:styleId="Heading1">
    <w:name w:val="heading 1"/>
    <w:basedOn w:val="Normal"/>
    <w:next w:val="Normal"/>
    <w:link w:val="Heading1Char"/>
    <w:uiPriority w:val="9"/>
    <w:qFormat/>
    <w:rsid w:val="00B87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00B"/>
    <w:rPr>
      <w:rFonts w:eastAsiaTheme="majorEastAsia" w:cstheme="majorBidi"/>
      <w:color w:val="272727" w:themeColor="text1" w:themeTint="D8"/>
    </w:rPr>
  </w:style>
  <w:style w:type="paragraph" w:styleId="Title">
    <w:name w:val="Title"/>
    <w:basedOn w:val="Normal"/>
    <w:next w:val="Normal"/>
    <w:link w:val="TitleChar"/>
    <w:uiPriority w:val="10"/>
    <w:qFormat/>
    <w:rsid w:val="00B87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00B"/>
    <w:pPr>
      <w:spacing w:before="160"/>
      <w:jc w:val="center"/>
    </w:pPr>
    <w:rPr>
      <w:i/>
      <w:iCs/>
      <w:color w:val="404040" w:themeColor="text1" w:themeTint="BF"/>
    </w:rPr>
  </w:style>
  <w:style w:type="character" w:customStyle="1" w:styleId="QuoteChar">
    <w:name w:val="Quote Char"/>
    <w:basedOn w:val="DefaultParagraphFont"/>
    <w:link w:val="Quote"/>
    <w:uiPriority w:val="29"/>
    <w:rsid w:val="00B8700B"/>
    <w:rPr>
      <w:i/>
      <w:iCs/>
      <w:color w:val="404040" w:themeColor="text1" w:themeTint="BF"/>
    </w:rPr>
  </w:style>
  <w:style w:type="paragraph" w:styleId="ListParagraph">
    <w:name w:val="List Paragraph"/>
    <w:basedOn w:val="Normal"/>
    <w:link w:val="ListParagraphChar"/>
    <w:uiPriority w:val="34"/>
    <w:qFormat/>
    <w:rsid w:val="00B8700B"/>
    <w:pPr>
      <w:ind w:left="720"/>
      <w:contextualSpacing/>
    </w:pPr>
  </w:style>
  <w:style w:type="character" w:styleId="IntenseEmphasis">
    <w:name w:val="Intense Emphasis"/>
    <w:basedOn w:val="DefaultParagraphFont"/>
    <w:uiPriority w:val="21"/>
    <w:qFormat/>
    <w:rsid w:val="00B8700B"/>
    <w:rPr>
      <w:i/>
      <w:iCs/>
      <w:color w:val="0F4761" w:themeColor="accent1" w:themeShade="BF"/>
    </w:rPr>
  </w:style>
  <w:style w:type="paragraph" w:styleId="IntenseQuote">
    <w:name w:val="Intense Quote"/>
    <w:basedOn w:val="Normal"/>
    <w:next w:val="Normal"/>
    <w:link w:val="IntenseQuoteChar"/>
    <w:uiPriority w:val="30"/>
    <w:qFormat/>
    <w:rsid w:val="00B87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00B"/>
    <w:rPr>
      <w:i/>
      <w:iCs/>
      <w:color w:val="0F4761" w:themeColor="accent1" w:themeShade="BF"/>
    </w:rPr>
  </w:style>
  <w:style w:type="character" w:styleId="IntenseReference">
    <w:name w:val="Intense Reference"/>
    <w:basedOn w:val="DefaultParagraphFont"/>
    <w:uiPriority w:val="32"/>
    <w:qFormat/>
    <w:rsid w:val="00B8700B"/>
    <w:rPr>
      <w:b/>
      <w:bCs/>
      <w:smallCaps/>
      <w:color w:val="0F4761" w:themeColor="accent1" w:themeShade="BF"/>
      <w:spacing w:val="5"/>
    </w:rPr>
  </w:style>
  <w:style w:type="character" w:styleId="Hyperlink">
    <w:name w:val="Hyperlink"/>
    <w:basedOn w:val="DefaultParagraphFont"/>
    <w:uiPriority w:val="99"/>
    <w:unhideWhenUsed/>
    <w:rsid w:val="00B8700B"/>
    <w:rPr>
      <w:color w:val="0000FF"/>
      <w:u w:val="single"/>
    </w:rPr>
  </w:style>
  <w:style w:type="paragraph" w:customStyle="1" w:styleId="ListLevel2">
    <w:name w:val="List Level 2"/>
    <w:basedOn w:val="ListParagraph"/>
    <w:link w:val="ListLevel2Char"/>
    <w:qFormat/>
    <w:rsid w:val="00B8700B"/>
    <w:pPr>
      <w:numPr>
        <w:ilvl w:val="1"/>
        <w:numId w:val="1"/>
      </w:numPr>
      <w:spacing w:before="100" w:beforeAutospacing="1" w:after="100" w:afterAutospacing="1" w:line="288" w:lineRule="auto"/>
      <w:contextualSpacing w:val="0"/>
      <w:jc w:val="both"/>
    </w:pPr>
    <w:rPr>
      <w:rFonts w:ascii="Arial" w:eastAsia="Arial" w:hAnsi="Arial" w:cs="Arial"/>
      <w:color w:val="000000" w:themeColor="text1"/>
      <w:sz w:val="20"/>
      <w:szCs w:val="20"/>
    </w:rPr>
  </w:style>
  <w:style w:type="paragraph" w:customStyle="1" w:styleId="ListLevel3">
    <w:name w:val="List Level 3"/>
    <w:basedOn w:val="ListParagraph"/>
    <w:link w:val="ListLevel3Char"/>
    <w:qFormat/>
    <w:rsid w:val="00B8700B"/>
    <w:pPr>
      <w:numPr>
        <w:ilvl w:val="2"/>
        <w:numId w:val="1"/>
      </w:numPr>
      <w:tabs>
        <w:tab w:val="left" w:pos="1701"/>
      </w:tabs>
      <w:spacing w:before="100" w:beforeAutospacing="1" w:after="100" w:afterAutospacing="1" w:line="288" w:lineRule="auto"/>
      <w:contextualSpacing w:val="0"/>
      <w:jc w:val="both"/>
    </w:pPr>
    <w:rPr>
      <w:rFonts w:ascii="Arial" w:eastAsia="Arial" w:hAnsi="Arial" w:cs="Arial"/>
      <w:sz w:val="20"/>
      <w:szCs w:val="20"/>
    </w:rPr>
  </w:style>
  <w:style w:type="character" w:customStyle="1" w:styleId="ListParagraphChar">
    <w:name w:val="List Paragraph Char"/>
    <w:basedOn w:val="DefaultParagraphFont"/>
    <w:link w:val="ListParagraph"/>
    <w:uiPriority w:val="34"/>
    <w:rsid w:val="00B8700B"/>
  </w:style>
  <w:style w:type="character" w:customStyle="1" w:styleId="ListLevel2Char">
    <w:name w:val="List Level 2 Char"/>
    <w:basedOn w:val="ListParagraphChar"/>
    <w:link w:val="ListLevel2"/>
    <w:rsid w:val="00B8700B"/>
    <w:rPr>
      <w:rFonts w:ascii="Arial" w:eastAsia="Arial" w:hAnsi="Arial" w:cs="Arial"/>
      <w:color w:val="000000" w:themeColor="text1"/>
      <w:kern w:val="0"/>
      <w:sz w:val="20"/>
      <w:szCs w:val="20"/>
      <w14:ligatures w14:val="none"/>
    </w:rPr>
  </w:style>
  <w:style w:type="character" w:customStyle="1" w:styleId="ListLevel3Char">
    <w:name w:val="List Level 3 Char"/>
    <w:basedOn w:val="ListParagraphChar"/>
    <w:link w:val="ListLevel3"/>
    <w:rsid w:val="00B8700B"/>
    <w:rPr>
      <w:rFonts w:ascii="Arial" w:eastAsia="Arial" w:hAnsi="Arial" w:cs="Arial"/>
      <w:kern w:val="0"/>
      <w:sz w:val="20"/>
      <w:szCs w:val="20"/>
      <w14:ligatures w14:val="none"/>
    </w:rPr>
  </w:style>
  <w:style w:type="paragraph" w:styleId="Header">
    <w:name w:val="header"/>
    <w:basedOn w:val="Normal"/>
    <w:link w:val="HeaderChar"/>
    <w:uiPriority w:val="99"/>
    <w:unhideWhenUsed/>
    <w:rsid w:val="00B8700B"/>
    <w:pPr>
      <w:tabs>
        <w:tab w:val="center" w:pos="4680"/>
        <w:tab w:val="right" w:pos="9360"/>
      </w:tabs>
    </w:pPr>
  </w:style>
  <w:style w:type="character" w:customStyle="1" w:styleId="HeaderChar">
    <w:name w:val="Header Char"/>
    <w:basedOn w:val="DefaultParagraphFont"/>
    <w:link w:val="Header"/>
    <w:uiPriority w:val="99"/>
    <w:rsid w:val="00B8700B"/>
    <w:rPr>
      <w:rFonts w:ascii="Times New Roman" w:hAnsi="Times New Roman" w:cs="Times New Roman"/>
      <w:kern w:val="0"/>
      <w:lang w:val="id-ID" w:eastAsia="id-ID"/>
      <w14:ligatures w14:val="none"/>
    </w:rPr>
  </w:style>
  <w:style w:type="paragraph" w:styleId="Footer">
    <w:name w:val="footer"/>
    <w:basedOn w:val="Normal"/>
    <w:link w:val="FooterChar"/>
    <w:uiPriority w:val="99"/>
    <w:unhideWhenUsed/>
    <w:rsid w:val="00B8700B"/>
    <w:pPr>
      <w:tabs>
        <w:tab w:val="center" w:pos="4680"/>
        <w:tab w:val="right" w:pos="9360"/>
      </w:tabs>
    </w:pPr>
  </w:style>
  <w:style w:type="character" w:customStyle="1" w:styleId="FooterChar">
    <w:name w:val="Footer Char"/>
    <w:basedOn w:val="DefaultParagraphFont"/>
    <w:link w:val="Footer"/>
    <w:uiPriority w:val="99"/>
    <w:rsid w:val="00B8700B"/>
    <w:rPr>
      <w:rFonts w:ascii="Times New Roman" w:hAnsi="Times New Roman" w:cs="Times New Roman"/>
      <w:kern w:val="0"/>
      <w:lang w:val="id-ID" w:eastAsia="id-ID"/>
      <w14:ligatures w14:val="none"/>
    </w:rPr>
  </w:style>
  <w:style w:type="paragraph" w:styleId="BodyText2">
    <w:name w:val="Body Text 2"/>
    <w:basedOn w:val="Normal"/>
    <w:link w:val="BodyText2Char"/>
    <w:rsid w:val="00B8700B"/>
    <w:pPr>
      <w:autoSpaceDE w:val="0"/>
      <w:autoSpaceDN w:val="0"/>
      <w:jc w:val="both"/>
    </w:pPr>
    <w:rPr>
      <w:rFonts w:eastAsia="Times New Roman"/>
      <w:sz w:val="18"/>
      <w:szCs w:val="20"/>
      <w:lang w:val="x-none" w:eastAsia="x-none"/>
    </w:rPr>
  </w:style>
  <w:style w:type="character" w:customStyle="1" w:styleId="BodyText2Char">
    <w:name w:val="Body Text 2 Char"/>
    <w:basedOn w:val="DefaultParagraphFont"/>
    <w:link w:val="BodyText2"/>
    <w:rsid w:val="00B8700B"/>
    <w:rPr>
      <w:rFonts w:ascii="Times New Roman" w:eastAsia="Times New Roman" w:hAnsi="Times New Roman" w:cs="Times New Roman"/>
      <w:kern w:val="0"/>
      <w:sz w:val="18"/>
      <w:szCs w:val="20"/>
      <w:lang w:val="x-none" w:eastAsia="x-none"/>
      <w14:ligatures w14:val="none"/>
    </w:rPr>
  </w:style>
  <w:style w:type="paragraph" w:styleId="HTMLPreformatted">
    <w:name w:val="HTML Preformatted"/>
    <w:basedOn w:val="Normal"/>
    <w:link w:val="HTMLPreformattedChar"/>
    <w:uiPriority w:val="99"/>
    <w:unhideWhenUsed/>
    <w:rsid w:val="00B87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8700B"/>
    <w:rPr>
      <w:rFonts w:ascii="Courier New" w:eastAsia="Times New Roman" w:hAnsi="Courier New" w:cs="Courier New"/>
      <w:kern w:val="0"/>
      <w:sz w:val="20"/>
      <w:szCs w:val="20"/>
      <w14:ligatures w14:val="none"/>
    </w:rPr>
  </w:style>
  <w:style w:type="character" w:customStyle="1" w:styleId="y2iqfc">
    <w:name w:val="y2iqfc"/>
    <w:basedOn w:val="DefaultParagraphFont"/>
    <w:rsid w:val="00B8700B"/>
  </w:style>
  <w:style w:type="table" w:styleId="TableGrid">
    <w:name w:val="Table Grid"/>
    <w:basedOn w:val="TableNormal"/>
    <w:uiPriority w:val="59"/>
    <w:rsid w:val="00415D85"/>
    <w:pPr>
      <w:spacing w:after="0" w:line="240" w:lineRule="auto"/>
    </w:pPr>
    <w:rPr>
      <w:kern w:val="0"/>
      <w:sz w:val="22"/>
      <w:szCs w:val="22"/>
      <w:lang w:val="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33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ses.ksei.co.id/" TargetMode="External"/><Relationship Id="rId3" Type="http://schemas.openxmlformats.org/officeDocument/2006/relationships/settings" Target="settings.xml"/><Relationship Id="rId7" Type="http://schemas.openxmlformats.org/officeDocument/2006/relationships/hyperlink" Target="http://www.apolloglobalinteractiv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tdn.office01</dc:creator>
  <cp:keywords/>
  <dc:description/>
  <cp:lastModifiedBy>ahmad mukhsinin</cp:lastModifiedBy>
  <cp:revision>5</cp:revision>
  <dcterms:created xsi:type="dcterms:W3CDTF">2026-05-24T07:21:00Z</dcterms:created>
  <dcterms:modified xsi:type="dcterms:W3CDTF">2026-05-25T02:09:00Z</dcterms:modified>
</cp:coreProperties>
</file>